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0F6B" w14:textId="50CC12D4" w:rsidR="00871C12" w:rsidRPr="00765917" w:rsidRDefault="00871C12" w:rsidP="00871C12">
      <w:pPr>
        <w:pStyle w:val="Style16ptBoldBefore6ptAfter6ptTopSinglesolid"/>
        <w:rPr>
          <w:sz w:val="28"/>
          <w:szCs w:val="28"/>
          <w:lang w:val="es-ES_tradnl"/>
        </w:rPr>
      </w:pPr>
      <w:r w:rsidRPr="00765917">
        <w:rPr>
          <w:sz w:val="28"/>
          <w:szCs w:val="28"/>
          <w:lang w:val="es-ES_tradnl"/>
        </w:rPr>
        <w:t>Certificación de visitas para agencia auspiciadora de centros/hogares</w:t>
      </w:r>
      <w:r w:rsidR="00765917" w:rsidRPr="00765917">
        <w:rPr>
          <w:sz w:val="28"/>
          <w:szCs w:val="28"/>
          <w:lang w:val="es-ES_tradnl"/>
        </w:rPr>
        <w:t xml:space="preserve"> </w:t>
      </w:r>
      <w:r w:rsidRPr="00765917">
        <w:rPr>
          <w:sz w:val="28"/>
          <w:szCs w:val="28"/>
          <w:lang w:val="es-ES_tradnl"/>
        </w:rPr>
        <w:t>226.16(d)(4)</w:t>
      </w:r>
    </w:p>
    <w:p w14:paraId="027345E8" w14:textId="77777777" w:rsidR="00871C12" w:rsidRDefault="00871C12" w:rsidP="00871C12">
      <w:pPr>
        <w:rPr>
          <w:lang w:val="es-ES_tradnl"/>
        </w:rPr>
      </w:pPr>
    </w:p>
    <w:p w14:paraId="1B4D7414" w14:textId="77777777" w:rsidR="00871C12" w:rsidRPr="00023A83" w:rsidRDefault="00871C12" w:rsidP="00871C12">
      <w:pPr>
        <w:rPr>
          <w:sz w:val="24"/>
          <w:szCs w:val="24"/>
          <w:lang w:val="es-ES_tradnl"/>
        </w:rPr>
      </w:pPr>
      <w:r w:rsidRPr="00023A83">
        <w:rPr>
          <w:sz w:val="24"/>
          <w:szCs w:val="24"/>
          <w:lang w:val="es-ES_tradnl"/>
        </w:rPr>
        <w:t>La Reglamentación Federal 226.16 (d) establece que como parte de los requisitos del programa PACNA, la institución realice unas visitas de monitoria para evaluar la operación y los servicios.</w:t>
      </w:r>
    </w:p>
    <w:p w14:paraId="056AEFD9" w14:textId="77777777" w:rsidR="00871C12" w:rsidRPr="00023A83" w:rsidRDefault="00871C12" w:rsidP="00871C12">
      <w:pPr>
        <w:rPr>
          <w:sz w:val="24"/>
          <w:szCs w:val="24"/>
          <w:lang w:val="es-ES_tradnl"/>
        </w:rPr>
      </w:pPr>
    </w:p>
    <w:p w14:paraId="7280145F" w14:textId="77777777" w:rsidR="00871C12" w:rsidRPr="00023A83" w:rsidRDefault="00871C12" w:rsidP="00871C12">
      <w:pPr>
        <w:rPr>
          <w:sz w:val="24"/>
          <w:szCs w:val="24"/>
          <w:lang w:val="es-ES_tradnl"/>
        </w:rPr>
      </w:pPr>
      <w:r w:rsidRPr="00023A83">
        <w:rPr>
          <w:sz w:val="24"/>
          <w:szCs w:val="24"/>
          <w:lang w:val="es-ES_tradnl"/>
        </w:rPr>
        <w:t>El propósito de la visita es verificar el funcionamiento del programa y corroborar que los procedimientos se estén llevando a cabo de acuerdo a lo establecido en la reglamentación, parte 226.16(d)(4)</w:t>
      </w:r>
    </w:p>
    <w:p w14:paraId="369A77B9" w14:textId="77777777" w:rsidR="00871C12" w:rsidRDefault="00871C12" w:rsidP="00871C12">
      <w:pPr>
        <w:rPr>
          <w:lang w:val="es-ES_tradnl"/>
        </w:rPr>
      </w:pPr>
    </w:p>
    <w:p w14:paraId="5EEFCDBF" w14:textId="77777777" w:rsidR="00871C12" w:rsidRDefault="00871C12" w:rsidP="00871C12">
      <w:pPr>
        <w:rPr>
          <w:lang w:val="es-ES_tradnl"/>
        </w:rPr>
      </w:pPr>
      <w:r>
        <w:rPr>
          <w:lang w:val="es-ES_tradnl"/>
        </w:rPr>
        <w:t xml:space="preserve">_____________________________________ </w:t>
      </w:r>
      <w:r w:rsidRPr="00023A83">
        <w:rPr>
          <w:sz w:val="24"/>
          <w:szCs w:val="24"/>
          <w:lang w:val="es-ES_tradnl"/>
        </w:rPr>
        <w:t>tiene la responsabilidad de cumplir con todos los</w:t>
      </w:r>
      <w:r>
        <w:rPr>
          <w:lang w:val="es-ES_tradnl"/>
        </w:rPr>
        <w:t xml:space="preserve">         </w:t>
      </w:r>
    </w:p>
    <w:p w14:paraId="30B4F48D" w14:textId="77777777" w:rsidR="00871C12" w:rsidRPr="00D4747C" w:rsidRDefault="00871C12" w:rsidP="00871C12">
      <w:pPr>
        <w:rPr>
          <w:sz w:val="16"/>
          <w:szCs w:val="16"/>
          <w:lang w:val="es-ES_tradnl"/>
        </w:rPr>
      </w:pPr>
      <w:r w:rsidRPr="00D4747C">
        <w:rPr>
          <w:sz w:val="16"/>
          <w:szCs w:val="16"/>
          <w:lang w:val="es-ES_tradnl"/>
        </w:rPr>
        <w:t xml:space="preserve">                         </w:t>
      </w:r>
      <w:r>
        <w:rPr>
          <w:sz w:val="16"/>
          <w:szCs w:val="16"/>
          <w:lang w:val="es-ES_tradnl"/>
        </w:rPr>
        <w:t xml:space="preserve">       </w:t>
      </w:r>
      <w:r w:rsidRPr="00D4747C">
        <w:rPr>
          <w:sz w:val="16"/>
          <w:szCs w:val="16"/>
          <w:lang w:val="es-ES_tradnl"/>
        </w:rPr>
        <w:t xml:space="preserve"> </w:t>
      </w:r>
      <w:r>
        <w:rPr>
          <w:sz w:val="16"/>
          <w:szCs w:val="16"/>
          <w:lang w:val="es-ES_tradnl"/>
        </w:rPr>
        <w:t>I</w:t>
      </w:r>
      <w:r w:rsidRPr="00D4747C">
        <w:rPr>
          <w:sz w:val="16"/>
          <w:szCs w:val="16"/>
          <w:lang w:val="es-ES_tradnl"/>
        </w:rPr>
        <w:t>nstitución</w:t>
      </w:r>
    </w:p>
    <w:p w14:paraId="291688BC" w14:textId="77777777" w:rsidR="00871C12" w:rsidRPr="00452CDE" w:rsidRDefault="00871C12" w:rsidP="00871C12">
      <w:pPr>
        <w:rPr>
          <w:sz w:val="24"/>
          <w:szCs w:val="24"/>
          <w:lang w:val="es-ES_tradnl"/>
        </w:rPr>
      </w:pPr>
      <w:r w:rsidRPr="00452CDE">
        <w:rPr>
          <w:sz w:val="24"/>
          <w:szCs w:val="24"/>
          <w:lang w:val="es-ES_tradnl"/>
        </w:rPr>
        <w:t>estándares requeridos para la participación del programa entre ellos:</w:t>
      </w:r>
    </w:p>
    <w:p w14:paraId="60886106" w14:textId="77777777" w:rsidR="00871C12" w:rsidRPr="00CC4BC2" w:rsidRDefault="00871C12" w:rsidP="00871C12">
      <w:pPr>
        <w:rPr>
          <w:sz w:val="18"/>
          <w:szCs w:val="18"/>
          <w:lang w:val="es-ES_tradnl"/>
        </w:rPr>
      </w:pPr>
    </w:p>
    <w:p w14:paraId="6AFEFD04" w14:textId="77777777" w:rsidR="00871C12" w:rsidRPr="00CC4BC2" w:rsidRDefault="00871C12" w:rsidP="00871C12">
      <w:pPr>
        <w:rPr>
          <w:sz w:val="18"/>
          <w:szCs w:val="18"/>
          <w:lang w:val="es-ES_tradnl"/>
        </w:rPr>
      </w:pPr>
    </w:p>
    <w:p w14:paraId="533D7A7D" w14:textId="77777777" w:rsidR="00871C12" w:rsidRPr="00023A83" w:rsidRDefault="00871C12" w:rsidP="00871C12">
      <w:pPr>
        <w:pStyle w:val="ListParagraph"/>
        <w:numPr>
          <w:ilvl w:val="0"/>
          <w:numId w:val="1"/>
        </w:numPr>
        <w:rPr>
          <w:sz w:val="24"/>
          <w:szCs w:val="24"/>
          <w:lang w:val="es-ES_tradnl"/>
        </w:rPr>
      </w:pPr>
      <w:r w:rsidRPr="00023A83">
        <w:rPr>
          <w:sz w:val="24"/>
          <w:szCs w:val="24"/>
          <w:lang w:val="es-ES_tradnl"/>
        </w:rPr>
        <w:t>Se realizarán como mínimo tres (3) visitas de monitorias cada año fiscal a todos los centros y/o hogar.</w:t>
      </w:r>
    </w:p>
    <w:p w14:paraId="7890E6F2" w14:textId="77777777" w:rsidR="00871C12" w:rsidRDefault="00871C12" w:rsidP="00871C12">
      <w:pPr>
        <w:pStyle w:val="ListParagraph"/>
        <w:numPr>
          <w:ilvl w:val="0"/>
          <w:numId w:val="1"/>
        </w:numPr>
        <w:rPr>
          <w:sz w:val="24"/>
          <w:szCs w:val="24"/>
          <w:lang w:val="es-ES_tradnl"/>
        </w:rPr>
      </w:pPr>
      <w:r w:rsidRPr="00023A83">
        <w:rPr>
          <w:sz w:val="24"/>
          <w:szCs w:val="24"/>
          <w:lang w:val="es-ES_tradnl"/>
        </w:rPr>
        <w:t>Las visitas a una facilidad no pueden tener más de seis (6) meses entre cada visita del año fiscal ni 6 meses entre la última visita de un año fiscal y la primera del próximo año fiscal.</w:t>
      </w:r>
    </w:p>
    <w:p w14:paraId="69F8D470" w14:textId="7F999489" w:rsidR="00871C12" w:rsidRPr="00765917" w:rsidRDefault="00871C12" w:rsidP="00765917">
      <w:pPr>
        <w:pStyle w:val="ListParagraph"/>
        <w:numPr>
          <w:ilvl w:val="0"/>
          <w:numId w:val="1"/>
        </w:numPr>
        <w:rPr>
          <w:sz w:val="24"/>
          <w:szCs w:val="24"/>
          <w:lang w:val="es-ES_tradnl"/>
        </w:rPr>
      </w:pPr>
      <w:r w:rsidRPr="00765917">
        <w:rPr>
          <w:sz w:val="24"/>
          <w:szCs w:val="24"/>
          <w:lang w:val="es-ES_tradnl"/>
        </w:rPr>
        <w:t>Dos (2) de las tres (3) visitas deben ser sin anunciar y tienen que estar identificadas</w:t>
      </w:r>
      <w:r w:rsidRPr="00765917">
        <w:rPr>
          <w:lang w:val="es-ES_tradnl"/>
        </w:rPr>
        <w:t xml:space="preserve"> </w:t>
      </w:r>
      <w:r w:rsidRPr="00765917">
        <w:rPr>
          <w:sz w:val="18"/>
          <w:szCs w:val="18"/>
          <w:lang w:val="es-ES_tradnl"/>
        </w:rPr>
        <w:t>(la intención es que no se pueda predecir el momento de la visita).</w:t>
      </w:r>
      <w:r w:rsidR="000C2D40" w:rsidRPr="00765917">
        <w:rPr>
          <w:sz w:val="18"/>
          <w:szCs w:val="18"/>
          <w:lang w:val="es-ES_tradnl"/>
        </w:rPr>
        <w:t xml:space="preserve"> </w:t>
      </w:r>
    </w:p>
    <w:p w14:paraId="0BFD0B9F" w14:textId="13735AF3" w:rsidR="000C2D40" w:rsidRPr="00765917" w:rsidRDefault="000C2D40" w:rsidP="00871C12">
      <w:pPr>
        <w:pStyle w:val="ListParagraph"/>
        <w:numPr>
          <w:ilvl w:val="0"/>
          <w:numId w:val="1"/>
        </w:numPr>
        <w:rPr>
          <w:sz w:val="24"/>
          <w:szCs w:val="18"/>
          <w:lang w:val="es-ES_tradnl"/>
        </w:rPr>
      </w:pPr>
      <w:r w:rsidRPr="00765917">
        <w:rPr>
          <w:sz w:val="24"/>
          <w:szCs w:val="18"/>
          <w:lang w:val="es-ES_tradnl"/>
        </w:rPr>
        <w:t>La institución se asegurará de notificar a los centros y/o hogares del derecho a la realización de visitas sin anunciar por parte del personal de la Agencia Estatal, del USDA-FNS y cualquier otro personal del Gobierno de Puerto Rico y/o Federal y mantendrá copia de notificación en expedientes.</w:t>
      </w:r>
    </w:p>
    <w:p w14:paraId="09FAB6B7" w14:textId="77777777" w:rsidR="00871C12" w:rsidRPr="00452CDE" w:rsidRDefault="00871C12" w:rsidP="00871C12">
      <w:pPr>
        <w:pStyle w:val="ListParagraph"/>
        <w:numPr>
          <w:ilvl w:val="0"/>
          <w:numId w:val="1"/>
        </w:numPr>
        <w:rPr>
          <w:sz w:val="24"/>
          <w:szCs w:val="24"/>
          <w:lang w:val="es-ES_tradnl"/>
        </w:rPr>
      </w:pPr>
      <w:r w:rsidRPr="00452CDE">
        <w:rPr>
          <w:sz w:val="24"/>
          <w:szCs w:val="24"/>
          <w:lang w:val="es-ES_tradnl"/>
        </w:rPr>
        <w:t>Se cumplirá con las Políticas Públicas CACFP 04-2006 sobre el porciento de visita y sobre el tiempo variado Memo Code: CACFP 16-2011</w:t>
      </w:r>
    </w:p>
    <w:p w14:paraId="72403EC7" w14:textId="77777777" w:rsidR="00871C12" w:rsidRPr="00452CDE" w:rsidRDefault="00871C12" w:rsidP="00871C12">
      <w:pPr>
        <w:pStyle w:val="ListParagraph"/>
        <w:numPr>
          <w:ilvl w:val="0"/>
          <w:numId w:val="1"/>
        </w:numPr>
        <w:rPr>
          <w:sz w:val="24"/>
          <w:szCs w:val="24"/>
          <w:lang w:val="es-ES_tradnl"/>
        </w:rPr>
      </w:pPr>
      <w:r w:rsidRPr="00452CDE">
        <w:rPr>
          <w:sz w:val="24"/>
          <w:szCs w:val="24"/>
          <w:lang w:val="es-ES_tradnl"/>
        </w:rPr>
        <w:t>Cuando un centro es nuevo, que no funcionó en el ciclo de visita anterior, se le realizará la primera visita durante las primeras cuatro (4) semanas que comienza a funcionar en el programa</w:t>
      </w:r>
    </w:p>
    <w:p w14:paraId="25B55041" w14:textId="77777777" w:rsidR="00871C12" w:rsidRPr="00452CDE" w:rsidRDefault="00871C12" w:rsidP="00871C12">
      <w:pPr>
        <w:pStyle w:val="ListParagraph"/>
        <w:numPr>
          <w:ilvl w:val="0"/>
          <w:numId w:val="1"/>
        </w:numPr>
        <w:rPr>
          <w:sz w:val="24"/>
          <w:szCs w:val="24"/>
          <w:lang w:val="es-ES_tradnl"/>
        </w:rPr>
      </w:pPr>
      <w:r>
        <w:rPr>
          <w:sz w:val="24"/>
          <w:szCs w:val="24"/>
          <w:lang w:val="es-ES_tradnl"/>
        </w:rPr>
        <w:t>Los servicios en fines de semana o días feriados son criterios a tener en cuenta al agendar las visitas (</w:t>
      </w:r>
      <w:r w:rsidRPr="00457844">
        <w:rPr>
          <w:sz w:val="18"/>
          <w:szCs w:val="18"/>
          <w:lang w:val="es-ES_tradnl"/>
        </w:rPr>
        <w:t>estos centros</w:t>
      </w:r>
      <w:r>
        <w:rPr>
          <w:sz w:val="24"/>
          <w:szCs w:val="24"/>
          <w:lang w:val="es-ES_tradnl"/>
        </w:rPr>
        <w:t xml:space="preserve"> </w:t>
      </w:r>
      <w:r w:rsidRPr="00457844">
        <w:rPr>
          <w:sz w:val="18"/>
          <w:szCs w:val="18"/>
          <w:lang w:val="es-ES_tradnl"/>
        </w:rPr>
        <w:t>deben ser visitados durante este ofrecimiento</w:t>
      </w:r>
      <w:r>
        <w:rPr>
          <w:sz w:val="18"/>
          <w:szCs w:val="18"/>
          <w:lang w:val="es-ES_tradnl"/>
        </w:rPr>
        <w:t>)</w:t>
      </w:r>
    </w:p>
    <w:p w14:paraId="37D4A01C" w14:textId="77777777" w:rsidR="00871C12" w:rsidRPr="00452CDE" w:rsidRDefault="00871C12" w:rsidP="00871C12">
      <w:pPr>
        <w:pStyle w:val="ListParagraph"/>
        <w:numPr>
          <w:ilvl w:val="0"/>
          <w:numId w:val="1"/>
        </w:numPr>
        <w:rPr>
          <w:sz w:val="24"/>
          <w:szCs w:val="24"/>
          <w:lang w:val="es-ES_tradnl"/>
        </w:rPr>
      </w:pPr>
      <w:r w:rsidRPr="00452CDE">
        <w:rPr>
          <w:sz w:val="24"/>
          <w:szCs w:val="24"/>
          <w:lang w:val="es-ES_tradnl"/>
        </w:rPr>
        <w:t>Mantener un record de las fechas de visitas, deficiencias encontradas y planes de acción correctiva.</w:t>
      </w:r>
    </w:p>
    <w:p w14:paraId="730F2B7C" w14:textId="77777777" w:rsidR="00871C12" w:rsidRPr="00452CDE" w:rsidRDefault="00871C12" w:rsidP="00871C12">
      <w:pPr>
        <w:pStyle w:val="ListParagraph"/>
        <w:numPr>
          <w:ilvl w:val="0"/>
          <w:numId w:val="1"/>
        </w:numPr>
        <w:rPr>
          <w:sz w:val="24"/>
          <w:szCs w:val="24"/>
          <w:lang w:val="es-ES_tradnl"/>
        </w:rPr>
      </w:pPr>
      <w:r w:rsidRPr="00452CDE">
        <w:rPr>
          <w:sz w:val="24"/>
          <w:szCs w:val="24"/>
          <w:lang w:val="es-ES_tradnl"/>
        </w:rPr>
        <w:t>Si en una visita se encuentran deficiencias será necesario realizar la próxima visita sin anunciar</w:t>
      </w:r>
    </w:p>
    <w:p w14:paraId="280421AB" w14:textId="77777777" w:rsidR="00871C12" w:rsidRDefault="00871C12" w:rsidP="00871C12">
      <w:pPr>
        <w:pStyle w:val="ListParagraph"/>
        <w:numPr>
          <w:ilvl w:val="0"/>
          <w:numId w:val="1"/>
        </w:numPr>
        <w:rPr>
          <w:sz w:val="24"/>
          <w:szCs w:val="24"/>
          <w:lang w:val="es-ES_tradnl"/>
        </w:rPr>
      </w:pPr>
      <w:r w:rsidRPr="00452CDE">
        <w:rPr>
          <w:sz w:val="24"/>
          <w:szCs w:val="24"/>
          <w:lang w:val="es-ES_tradnl"/>
        </w:rPr>
        <w:t xml:space="preserve">El funcionario designado para realizar la visita de monitoria, no puede ser el funcionario que tiene la responsabilidad de supervisar PACNA en el centro u hogar.  Este funcionario será responsable de realizar una visita de seguimiento para validar que el plan de acción correctiva fue implantado y que el (los) </w:t>
      </w:r>
      <w:r w:rsidRPr="00452CDE">
        <w:rPr>
          <w:sz w:val="24"/>
          <w:szCs w:val="24"/>
          <w:lang w:val="es-ES_tradnl"/>
        </w:rPr>
        <w:lastRenderedPageBreak/>
        <w:t>hallazgo (s) fueron corregidos permanentemente.  La visita de seguimiento se realizará sin anunciar y antes de la próxima visita de monitoria al centro u hogar.</w:t>
      </w:r>
    </w:p>
    <w:p w14:paraId="1FBB14D6" w14:textId="77777777" w:rsidR="00765917" w:rsidRPr="00452CDE" w:rsidRDefault="00765917" w:rsidP="00871C12">
      <w:pPr>
        <w:pStyle w:val="ListParagraph"/>
        <w:numPr>
          <w:ilvl w:val="0"/>
          <w:numId w:val="1"/>
        </w:numPr>
        <w:rPr>
          <w:sz w:val="24"/>
          <w:szCs w:val="24"/>
          <w:lang w:val="es-ES_tradnl"/>
        </w:rPr>
      </w:pPr>
    </w:p>
    <w:p w14:paraId="418C6D12" w14:textId="77777777" w:rsidR="00871C12" w:rsidRPr="00452CDE" w:rsidRDefault="00871C12" w:rsidP="00871C12">
      <w:pPr>
        <w:pStyle w:val="ListParagraph"/>
        <w:numPr>
          <w:ilvl w:val="1"/>
          <w:numId w:val="1"/>
        </w:numPr>
        <w:rPr>
          <w:b/>
          <w:sz w:val="24"/>
          <w:szCs w:val="24"/>
          <w:lang w:val="es-ES_tradnl"/>
        </w:rPr>
      </w:pPr>
      <w:r w:rsidRPr="00452CDE">
        <w:rPr>
          <w:b/>
          <w:sz w:val="24"/>
          <w:szCs w:val="24"/>
          <w:lang w:val="es-ES_tradnl"/>
        </w:rPr>
        <w:t xml:space="preserve">Política Pública </w:t>
      </w:r>
      <w:r w:rsidRPr="00E92F25">
        <w:rPr>
          <w:b/>
          <w:sz w:val="24"/>
          <w:szCs w:val="24"/>
          <w:lang w:val="es-ES_tradnl"/>
        </w:rPr>
        <w:t>sobre las visitas de monitoria en PACNA</w:t>
      </w:r>
    </w:p>
    <w:p w14:paraId="43411E1C" w14:textId="77777777" w:rsidR="00871C12" w:rsidRPr="006266E0" w:rsidRDefault="00871C12" w:rsidP="00871C12">
      <w:pPr>
        <w:rPr>
          <w:lang w:val="es-ES_tradnl"/>
        </w:rPr>
      </w:pPr>
    </w:p>
    <w:p w14:paraId="342CF875" w14:textId="77777777" w:rsidR="00871C12" w:rsidRPr="00452CDE" w:rsidRDefault="00871C12" w:rsidP="00871C12">
      <w:pPr>
        <w:rPr>
          <w:sz w:val="24"/>
          <w:szCs w:val="24"/>
          <w:lang w:val="es-ES_tradnl"/>
        </w:rPr>
      </w:pPr>
      <w:r w:rsidRPr="00452CDE">
        <w:rPr>
          <w:sz w:val="24"/>
          <w:szCs w:val="24"/>
          <w:lang w:val="es-ES_tradnl"/>
        </w:rPr>
        <w:t>Si se utiliza el sistema de Opción de seleccionar visitas-“Review averaging” entonces:</w:t>
      </w:r>
    </w:p>
    <w:p w14:paraId="3C4463A4" w14:textId="77777777" w:rsidR="00871C12" w:rsidRPr="00452CDE" w:rsidRDefault="00871C12" w:rsidP="00871C12">
      <w:pPr>
        <w:pStyle w:val="ListParagraph"/>
        <w:numPr>
          <w:ilvl w:val="0"/>
          <w:numId w:val="2"/>
        </w:numPr>
        <w:rPr>
          <w:sz w:val="24"/>
          <w:szCs w:val="24"/>
          <w:lang w:val="es-ES_tradnl"/>
        </w:rPr>
      </w:pPr>
      <w:r w:rsidRPr="00452CDE">
        <w:rPr>
          <w:sz w:val="24"/>
          <w:szCs w:val="24"/>
          <w:lang w:val="es-ES_tradnl"/>
        </w:rPr>
        <w:t>Tiene que realizar dos (2) visitas sin anunciar a cada unidad, no pueden tener más de nueve (9) meses entre una y otra.  La tercera visita se le asigna a otra unidad ya previamente seleccionada con necesidad de más de tres visitas de monitoría y con no más de tres meses entre cada visita.</w:t>
      </w:r>
    </w:p>
    <w:p w14:paraId="26AF5AD4" w14:textId="77777777" w:rsidR="00871C12" w:rsidRPr="00452CDE" w:rsidRDefault="00871C12" w:rsidP="00871C12">
      <w:pPr>
        <w:pStyle w:val="ListParagraph"/>
        <w:numPr>
          <w:ilvl w:val="0"/>
          <w:numId w:val="2"/>
        </w:numPr>
        <w:rPr>
          <w:sz w:val="24"/>
          <w:szCs w:val="24"/>
          <w:lang w:val="es-ES_tradnl"/>
        </w:rPr>
      </w:pPr>
      <w:r w:rsidRPr="00452CDE">
        <w:rPr>
          <w:sz w:val="24"/>
          <w:szCs w:val="24"/>
          <w:lang w:val="es-ES_tradnl"/>
        </w:rPr>
        <w:t>Tiene que identificar todas las unidades a las que se le realizarán sólo dos visitas y a las que se le realizarán más de tres visitas.</w:t>
      </w:r>
    </w:p>
    <w:p w14:paraId="303C3F19" w14:textId="77777777" w:rsidR="00871C12" w:rsidRPr="00452CDE" w:rsidRDefault="00871C12" w:rsidP="00871C12">
      <w:pPr>
        <w:pStyle w:val="ListParagraph"/>
        <w:numPr>
          <w:ilvl w:val="0"/>
          <w:numId w:val="2"/>
        </w:numPr>
        <w:rPr>
          <w:sz w:val="24"/>
          <w:szCs w:val="24"/>
          <w:lang w:val="es-ES_tradnl"/>
        </w:rPr>
      </w:pPr>
      <w:r w:rsidRPr="00452CDE">
        <w:rPr>
          <w:sz w:val="24"/>
          <w:szCs w:val="24"/>
          <w:lang w:val="es-ES_tradnl"/>
        </w:rPr>
        <w:t>Deben incluir día, mes y año en que realizarán las visitas y el nombre de los funcionarios</w:t>
      </w:r>
    </w:p>
    <w:p w14:paraId="124D71E2" w14:textId="77777777" w:rsidR="00871C12" w:rsidRDefault="00871C12" w:rsidP="00871C12">
      <w:pPr>
        <w:rPr>
          <w:lang w:val="es-ES_tradnl"/>
        </w:rPr>
      </w:pPr>
    </w:p>
    <w:p w14:paraId="4016AFBC" w14:textId="77777777" w:rsidR="00871C12" w:rsidRDefault="00871C12" w:rsidP="00871C12">
      <w:pPr>
        <w:rPr>
          <w:lang w:val="es-ES_tradnl"/>
        </w:rPr>
      </w:pPr>
    </w:p>
    <w:p w14:paraId="4160A7D2" w14:textId="77777777" w:rsidR="00871C12" w:rsidRDefault="00871C12" w:rsidP="00871C12">
      <w:pPr>
        <w:rPr>
          <w:lang w:val="es-ES_tradnl"/>
        </w:rPr>
      </w:pPr>
    </w:p>
    <w:p w14:paraId="34130C0A" w14:textId="77777777" w:rsidR="00871C12" w:rsidRDefault="00871C12" w:rsidP="00871C12">
      <w:pPr>
        <w:rPr>
          <w:lang w:val="es-ES_tradnl"/>
        </w:rPr>
      </w:pPr>
      <w:r>
        <w:rPr>
          <w:lang w:val="es-ES_tradnl"/>
        </w:rPr>
        <w:t>_________________________</w:t>
      </w:r>
      <w:r>
        <w:rPr>
          <w:lang w:val="es-ES_tradnl"/>
        </w:rPr>
        <w:tab/>
      </w:r>
      <w:r>
        <w:rPr>
          <w:lang w:val="es-ES_tradnl"/>
        </w:rPr>
        <w:tab/>
      </w:r>
      <w:r>
        <w:rPr>
          <w:lang w:val="es-ES_tradnl"/>
        </w:rPr>
        <w:tab/>
      </w:r>
      <w:r>
        <w:rPr>
          <w:lang w:val="es-ES_tradnl"/>
        </w:rPr>
        <w:tab/>
      </w:r>
      <w:r>
        <w:rPr>
          <w:lang w:val="es-ES_tradnl"/>
        </w:rPr>
        <w:tab/>
        <w:t>________________________</w:t>
      </w:r>
    </w:p>
    <w:p w14:paraId="59C1B2EC" w14:textId="77777777" w:rsidR="00871C12" w:rsidRDefault="00871C12" w:rsidP="00871C12">
      <w:pPr>
        <w:rPr>
          <w:lang w:val="es-ES_tradnl"/>
        </w:rPr>
      </w:pPr>
      <w:r>
        <w:rPr>
          <w:lang w:val="es-ES_tradnl"/>
        </w:rPr>
        <w:t xml:space="preserve">  Firma de persona autorizada                                                                            Fecha</w:t>
      </w:r>
    </w:p>
    <w:p w14:paraId="76F9F906" w14:textId="77777777" w:rsidR="00871C12" w:rsidRDefault="00871C12" w:rsidP="00871C12">
      <w:pPr>
        <w:rPr>
          <w:lang w:val="es-ES_tradnl"/>
        </w:rPr>
      </w:pPr>
    </w:p>
    <w:p w14:paraId="3B54A825" w14:textId="77777777" w:rsidR="00871C12" w:rsidRDefault="00871C12" w:rsidP="00871C12">
      <w:pPr>
        <w:rPr>
          <w:lang w:val="es-ES_tradnl"/>
        </w:rPr>
      </w:pPr>
    </w:p>
    <w:p w14:paraId="39C36AE2" w14:textId="77777777" w:rsidR="00871C12" w:rsidRDefault="00871C12" w:rsidP="00871C12">
      <w:pPr>
        <w:rPr>
          <w:lang w:val="es-ES_tradnl"/>
        </w:rPr>
      </w:pPr>
    </w:p>
    <w:p w14:paraId="18E838F8" w14:textId="77777777" w:rsidR="00871C12" w:rsidRPr="00765917" w:rsidRDefault="00871C12" w:rsidP="00871C12">
      <w:pPr>
        <w:rPr>
          <w:sz w:val="24"/>
          <w:szCs w:val="24"/>
          <w:lang w:val="es-ES_tradnl"/>
        </w:rPr>
      </w:pPr>
      <w:r w:rsidRPr="00765917">
        <w:rPr>
          <w:sz w:val="24"/>
          <w:szCs w:val="24"/>
          <w:lang w:val="es-ES_tradnl"/>
        </w:rPr>
        <w:t>Incluir:</w:t>
      </w:r>
    </w:p>
    <w:p w14:paraId="16A8DC17" w14:textId="77777777" w:rsidR="00765917" w:rsidRPr="00906ACB" w:rsidRDefault="00765917" w:rsidP="00871C12">
      <w:pPr>
        <w:rPr>
          <w:lang w:val="es-ES_tradnl"/>
        </w:rPr>
      </w:pPr>
    </w:p>
    <w:p w14:paraId="1FDE45E8" w14:textId="37EEE8DB" w:rsidR="00593EA8" w:rsidRDefault="00871C12" w:rsidP="00871C12">
      <w:pPr>
        <w:rPr>
          <w:lang w:val="es-ES_tradnl"/>
        </w:rPr>
      </w:pPr>
      <w:r w:rsidRPr="00F72E2D">
        <w:rPr>
          <w:rFonts w:cs="Arial"/>
          <w:lang w:val="es-ES_tradnl"/>
        </w:rPr>
        <w:t xml:space="preserve">    </w:t>
      </w:r>
      <w:sdt>
        <w:sdtPr>
          <w:rPr>
            <w:rFonts w:cs="Arial"/>
            <w:lang w:val="es-ES_tradnl"/>
          </w:rPr>
          <w:id w:val="1382740399"/>
          <w14:checkbox>
            <w14:checked w14:val="0"/>
            <w14:checkedState w14:val="2612" w14:font="MS Gothic"/>
            <w14:uncheckedState w14:val="2610" w14:font="MS Gothic"/>
          </w14:checkbox>
        </w:sdtPr>
        <w:sdtEndPr/>
        <w:sdtContent>
          <w:r w:rsidRPr="00F72E2D">
            <w:rPr>
              <w:rFonts w:ascii="MS Gothic" w:eastAsia="MS Gothic" w:hAnsi="MS Gothic" w:cs="MS Gothic" w:hint="eastAsia"/>
              <w:lang w:val="es-ES_tradnl"/>
            </w:rPr>
            <w:t>☐</w:t>
          </w:r>
        </w:sdtContent>
      </w:sdt>
      <w:r w:rsidRPr="00F72E2D">
        <w:rPr>
          <w:rFonts w:cs="Arial"/>
          <w:lang w:val="es-ES_tradnl"/>
        </w:rPr>
        <w:t xml:space="preserve">  </w:t>
      </w:r>
      <w:r w:rsidRPr="00765917">
        <w:rPr>
          <w:rFonts w:cs="Arial"/>
          <w:sz w:val="24"/>
          <w:szCs w:val="24"/>
          <w:lang w:val="es-ES_tradnl"/>
        </w:rPr>
        <w:t>Hoja en excel personal asignado para realizar visitas y certificación del porciento</w:t>
      </w:r>
      <w:r w:rsidRPr="00765917">
        <w:rPr>
          <w:sz w:val="24"/>
          <w:szCs w:val="24"/>
          <w:lang w:val="es-ES_tradnl"/>
        </w:rPr>
        <w:t xml:space="preserve"> </w:t>
      </w:r>
      <w:r w:rsidR="00765917">
        <w:rPr>
          <w:sz w:val="24"/>
          <w:szCs w:val="24"/>
          <w:lang w:val="es-ES_tradnl"/>
        </w:rPr>
        <w:t xml:space="preserve">  </w:t>
      </w:r>
    </w:p>
    <w:p w14:paraId="52B1AFDD" w14:textId="624C325E" w:rsidR="00DB37AF" w:rsidRDefault="00765917" w:rsidP="00871C12">
      <w:pPr>
        <w:rPr>
          <w:lang w:val="es-PR"/>
        </w:rPr>
      </w:pPr>
      <w:r>
        <w:rPr>
          <w:noProof/>
          <w:sz w:val="28"/>
          <w:szCs w:val="28"/>
        </w:rPr>
        <mc:AlternateContent>
          <mc:Choice Requires="wps">
            <w:drawing>
              <wp:anchor distT="0" distB="0" distL="114300" distR="114300" simplePos="0" relativeHeight="251658240" behindDoc="0" locked="0" layoutInCell="1" allowOverlap="1" wp14:anchorId="3FC7EAFE" wp14:editId="59471AAF">
                <wp:simplePos x="0" y="0"/>
                <wp:positionH relativeFrom="rightMargin">
                  <wp:posOffset>-933450</wp:posOffset>
                </wp:positionH>
                <wp:positionV relativeFrom="paragraph">
                  <wp:posOffset>69215</wp:posOffset>
                </wp:positionV>
                <wp:extent cx="1323975" cy="409575"/>
                <wp:effectExtent l="0" t="0" r="0" b="0"/>
                <wp:wrapNone/>
                <wp:docPr id="686" name="Text Box 686"/>
                <wp:cNvGraphicFramePr/>
                <a:graphic xmlns:a="http://schemas.openxmlformats.org/drawingml/2006/main">
                  <a:graphicData uri="http://schemas.microsoft.com/office/word/2010/wordprocessingShape">
                    <wps:wsp>
                      <wps:cNvSpPr txBox="1"/>
                      <wps:spPr>
                        <a:xfrm>
                          <a:off x="0" y="0"/>
                          <a:ext cx="13239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CE415" w14:textId="77777777" w:rsidR="00871C12" w:rsidRPr="00993329" w:rsidRDefault="00871C12" w:rsidP="00871C12">
                            <w:pPr>
                              <w:rPr>
                                <w:sz w:val="16"/>
                                <w:szCs w:val="16"/>
                              </w:rPr>
                            </w:pPr>
                          </w:p>
                          <w:p w14:paraId="4E76CBF9" w14:textId="77777777" w:rsidR="00871C12" w:rsidRPr="00993329" w:rsidRDefault="00871C12" w:rsidP="00871C12">
                            <w:pPr>
                              <w:rPr>
                                <w:sz w:val="16"/>
                                <w:szCs w:val="16"/>
                              </w:rPr>
                            </w:pPr>
                            <w:r w:rsidRPr="00993329">
                              <w:rPr>
                                <w:sz w:val="16"/>
                                <w:szCs w:val="16"/>
                              </w:rPr>
                              <w:t>dd/mm/aaaa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C7EAFE" id="_x0000_t202" coordsize="21600,21600" o:spt="202" path="m,l,21600r21600,l21600,xe">
                <v:stroke joinstyle="miter"/>
                <v:path gradientshapeok="t" o:connecttype="rect"/>
              </v:shapetype>
              <v:shape id="Text Box 686" o:spid="_x0000_s1026" type="#_x0000_t202" style="position:absolute;margin-left:-73.5pt;margin-top:5.45pt;width:104.25pt;height:32.25pt;z-index:25165824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" filled="f" stroked="f" strokeweight=".5pt">
                <v:textbox>
                  <w:txbxContent>
                    <w:p w14:paraId="4A6CE415" w14:textId="77777777" w:rsidR="00871C12" w:rsidRPr="00993329" w:rsidRDefault="00871C12" w:rsidP="00871C12">
                      <w:pPr>
                        <w:rPr>
                          <w:sz w:val="16"/>
                          <w:szCs w:val="16"/>
                        </w:rPr>
                      </w:pPr>
                    </w:p>
                    <w:p w14:paraId="4E76CBF9" w14:textId="77777777" w:rsidR="00871C12" w:rsidRPr="00993329" w:rsidRDefault="00871C12" w:rsidP="00871C12">
                      <w:pPr>
                        <w:rPr>
                          <w:sz w:val="16"/>
                          <w:szCs w:val="16"/>
                        </w:rPr>
                      </w:pPr>
                      <w:r w:rsidRPr="00993329">
                        <w:rPr>
                          <w:sz w:val="16"/>
                          <w:szCs w:val="16"/>
                        </w:rPr>
                        <w:t>dd/mm/aaaa</w:t>
                      </w:r>
                    </w:p>
                  </w:txbxContent>
                </v:textbox>
                <w10:wrap anchorx="margin"/>
              </v:shape>
            </w:pict>
          </mc:Fallback>
        </mc:AlternateContent>
      </w:r>
      <w:r>
        <w:rPr>
          <w:lang w:val="es-PR"/>
        </w:rPr>
        <w:t xml:space="preserve">          </w:t>
      </w:r>
      <w:r w:rsidRPr="00765917">
        <w:rPr>
          <w:sz w:val="24"/>
          <w:szCs w:val="24"/>
          <w:lang w:val="es-ES_tradnl"/>
        </w:rPr>
        <w:t>de visitas a cada servicio.</w:t>
      </w:r>
    </w:p>
    <w:p w14:paraId="7BE944DD" w14:textId="3CBAB8B1" w:rsidR="00DB37AF" w:rsidRDefault="00DB37AF" w:rsidP="00871C12">
      <w:pPr>
        <w:rPr>
          <w:lang w:val="es-PR"/>
        </w:rPr>
      </w:pPr>
    </w:p>
    <w:p w14:paraId="10DCD517" w14:textId="02E79825" w:rsidR="00DB37AF" w:rsidRDefault="00DB37AF" w:rsidP="00871C12">
      <w:pPr>
        <w:rPr>
          <w:lang w:val="es-PR"/>
        </w:rPr>
      </w:pPr>
    </w:p>
    <w:p w14:paraId="09C46D2E" w14:textId="4F9D37DB" w:rsidR="00DB37AF" w:rsidRDefault="00DB37AF" w:rsidP="00871C12">
      <w:pPr>
        <w:rPr>
          <w:lang w:val="es-PR"/>
        </w:rPr>
      </w:pPr>
    </w:p>
    <w:p w14:paraId="34CD5B8F" w14:textId="77777777" w:rsidR="00765917" w:rsidRDefault="00765917" w:rsidP="00871C12">
      <w:pPr>
        <w:rPr>
          <w:lang w:val="es-PR"/>
        </w:rPr>
      </w:pPr>
    </w:p>
    <w:p w14:paraId="0CC7E06E" w14:textId="77777777" w:rsidR="00765917" w:rsidRPr="00DB0C29" w:rsidRDefault="00765917" w:rsidP="00765917">
      <w:pPr>
        <w:pStyle w:val="Default"/>
        <w:jc w:val="both"/>
        <w:rPr>
          <w:rFonts w:ascii="Montserrat" w:hAnsi="Montserrat"/>
          <w:b/>
          <w:bCs/>
          <w:color w:val="1B1B1B"/>
          <w:sz w:val="23"/>
          <w:szCs w:val="23"/>
          <w:u w:val="single"/>
          <w:lang w:val="es-ES"/>
        </w:rPr>
      </w:pPr>
      <w:r w:rsidRPr="00DB0C29">
        <w:rPr>
          <w:rFonts w:ascii="Montserrat" w:hAnsi="Montserrat"/>
          <w:b/>
          <w:bCs/>
          <w:color w:val="1B1B1B"/>
          <w:sz w:val="23"/>
          <w:szCs w:val="23"/>
          <w:u w:val="single"/>
          <w:lang w:val="es-ES"/>
        </w:rPr>
        <w:t>Declaración de No Discriminación de USDA</w:t>
      </w:r>
    </w:p>
    <w:p w14:paraId="6AF990DC" w14:textId="77777777" w:rsidR="00765917" w:rsidRDefault="00765917" w:rsidP="00765917">
      <w:pPr>
        <w:pStyle w:val="Default"/>
        <w:jc w:val="both"/>
        <w:rPr>
          <w:rFonts w:ascii="Montserrat" w:hAnsi="Montserrat"/>
          <w:iCs/>
          <w:color w:val="1B1B1B"/>
          <w:sz w:val="23"/>
          <w:szCs w:val="23"/>
          <w:lang w:val="es-ES"/>
        </w:rPr>
      </w:pPr>
    </w:p>
    <w:p w14:paraId="03372AE8" w14:textId="77777777" w:rsidR="00765917" w:rsidRPr="00BE60C4" w:rsidRDefault="00765917" w:rsidP="00765917">
      <w:pPr>
        <w:pStyle w:val="Default"/>
        <w:jc w:val="both"/>
        <w:rPr>
          <w:rFonts w:ascii="Montserrat" w:hAnsi="Montserrat"/>
          <w:iCs/>
          <w:color w:val="1B1B1B"/>
          <w:sz w:val="23"/>
          <w:szCs w:val="23"/>
          <w:lang w:val="es-ES"/>
        </w:rPr>
      </w:pPr>
      <w:r w:rsidRPr="00BE60C4">
        <w:rPr>
          <w:rFonts w:ascii="Montserrat" w:hAnsi="Montserrat"/>
          <w:iCs/>
          <w:color w:val="1B1B1B"/>
          <w:sz w:val="23"/>
          <w:szCs w:val="23"/>
          <w:lang w:val="es-ES"/>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7675B7CE" w14:textId="77777777" w:rsidR="00765917" w:rsidRPr="00BE60C4" w:rsidRDefault="00765917" w:rsidP="00765917">
      <w:pPr>
        <w:pStyle w:val="NoSpacing"/>
        <w:rPr>
          <w:lang w:val="es-ES"/>
        </w:rPr>
      </w:pPr>
    </w:p>
    <w:p w14:paraId="1D195C84" w14:textId="77777777" w:rsidR="00765917" w:rsidRPr="00BE60C4" w:rsidRDefault="00765917" w:rsidP="00765917">
      <w:pPr>
        <w:pStyle w:val="Default"/>
        <w:jc w:val="both"/>
        <w:rPr>
          <w:rFonts w:ascii="Montserrat" w:hAnsi="Montserrat"/>
          <w:iCs/>
          <w:color w:val="1B1B1B"/>
          <w:sz w:val="23"/>
          <w:szCs w:val="23"/>
          <w:lang w:val="es-ES"/>
        </w:rPr>
      </w:pPr>
      <w:r w:rsidRPr="00BE60C4">
        <w:rPr>
          <w:rFonts w:ascii="Montserrat" w:hAnsi="Montserrat"/>
          <w:iCs/>
          <w:color w:val="1B1B1B"/>
          <w:sz w:val="23"/>
          <w:szCs w:val="23"/>
          <w:lang w:val="es-ES"/>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70FEF61D" w14:textId="77777777" w:rsidR="00765917" w:rsidRPr="00BE60C4" w:rsidRDefault="00765917" w:rsidP="00765917">
      <w:pPr>
        <w:pStyle w:val="NoSpacing"/>
        <w:rPr>
          <w:lang w:val="es-ES"/>
        </w:rPr>
      </w:pPr>
    </w:p>
    <w:p w14:paraId="00349F4A" w14:textId="77777777" w:rsidR="00765917" w:rsidRPr="00BE60C4" w:rsidRDefault="00765917" w:rsidP="00765917">
      <w:pPr>
        <w:pStyle w:val="Default"/>
        <w:jc w:val="both"/>
        <w:rPr>
          <w:rFonts w:ascii="Montserrat" w:hAnsi="Montserrat"/>
          <w:iCs/>
          <w:sz w:val="23"/>
          <w:szCs w:val="23"/>
          <w:lang w:val="es-ES"/>
        </w:rPr>
      </w:pPr>
      <w:r w:rsidRPr="00BE60C4">
        <w:rPr>
          <w:rFonts w:ascii="Montserrat" w:hAnsi="Montserrat"/>
          <w:iCs/>
          <w:color w:val="1B1B1B"/>
          <w:sz w:val="23"/>
          <w:szCs w:val="23"/>
          <w:lang w:val="es-ES"/>
        </w:rPr>
        <w:t xml:space="preserve">Para presentar una queja por discriminación en el programa, el reclamante debe llenar </w:t>
      </w:r>
      <w:r w:rsidRPr="00BE60C4">
        <w:rPr>
          <w:rFonts w:ascii="Montserrat" w:hAnsi="Montserrat"/>
          <w:iCs/>
          <w:sz w:val="23"/>
          <w:szCs w:val="23"/>
          <w:lang w:val="es-ES"/>
        </w:rPr>
        <w:t>un formulario AD-3027</w:t>
      </w:r>
      <w:r w:rsidRPr="00BE60C4">
        <w:rPr>
          <w:rFonts w:ascii="Montserrat" w:hAnsi="Montserrat"/>
          <w:iCs/>
          <w:color w:val="1B1B1B"/>
          <w:sz w:val="23"/>
          <w:szCs w:val="23"/>
          <w:lang w:val="es-ES"/>
        </w:rPr>
        <w:t xml:space="preserve">, formulario de queja por discriminación en el programa del USDA, el cual puede obtenerse en línea en: </w:t>
      </w:r>
      <w:r w:rsidRPr="00D24639">
        <w:rPr>
          <w:rFonts w:ascii="Montserrat" w:hAnsi="Montserrat"/>
          <w:iCs/>
          <w:color w:val="0562C1"/>
          <w:sz w:val="23"/>
          <w:szCs w:val="23"/>
          <w:lang w:val="es-ES"/>
        </w:rPr>
        <w:t>https://www.usda.gov/sites/default/files/documents/ad-3027s.pdf</w:t>
      </w:r>
      <w:r w:rsidRPr="00BE60C4">
        <w:rPr>
          <w:rFonts w:ascii="Montserrat" w:hAnsi="Montserrat"/>
          <w:iCs/>
          <w:color w:val="1B1B1B"/>
          <w:sz w:val="23"/>
          <w:szCs w:val="23"/>
          <w:lang w:val="es-ES"/>
        </w:rPr>
        <w:t xml:space="preserve">, de cualquier oficina de USDA, </w:t>
      </w:r>
      <w:r w:rsidRPr="00BE60C4">
        <w:rPr>
          <w:rFonts w:ascii="Montserrat" w:hAnsi="Montserrat"/>
          <w:iCs/>
          <w:sz w:val="23"/>
          <w:szCs w:val="23"/>
          <w:lang w:val="es-ES"/>
        </w:rPr>
        <w:t xml:space="preserve">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7DCF8AF5" w14:textId="77777777" w:rsidR="00765917" w:rsidRPr="00E619E2" w:rsidRDefault="00765917" w:rsidP="00765917">
      <w:pPr>
        <w:pStyle w:val="NoSpacing"/>
        <w:rPr>
          <w:sz w:val="16"/>
          <w:szCs w:val="16"/>
          <w:lang w:val="es-ES"/>
        </w:rPr>
      </w:pPr>
    </w:p>
    <w:p w14:paraId="1E12D83C" w14:textId="77777777" w:rsidR="00765917" w:rsidRPr="00BE60C4" w:rsidRDefault="00765917" w:rsidP="00765917">
      <w:pPr>
        <w:jc w:val="both"/>
        <w:rPr>
          <w:rFonts w:ascii="Montserrat" w:hAnsi="Montserrat"/>
          <w:iCs/>
          <w:sz w:val="23"/>
          <w:szCs w:val="23"/>
        </w:rPr>
      </w:pPr>
      <w:r w:rsidRPr="00BE60C4">
        <w:rPr>
          <w:rFonts w:ascii="Montserrat" w:hAnsi="Montserrat"/>
          <w:iCs/>
          <w:sz w:val="23"/>
          <w:szCs w:val="23"/>
        </w:rPr>
        <w:t>1.    </w:t>
      </w:r>
      <w:proofErr w:type="spellStart"/>
      <w:r w:rsidRPr="00BE60C4">
        <w:rPr>
          <w:rFonts w:ascii="Montserrat" w:hAnsi="Montserrat"/>
          <w:iCs/>
          <w:sz w:val="23"/>
          <w:szCs w:val="23"/>
        </w:rPr>
        <w:t>correo</w:t>
      </w:r>
      <w:proofErr w:type="spellEnd"/>
      <w:r w:rsidRPr="00BE60C4">
        <w:rPr>
          <w:rFonts w:ascii="Montserrat" w:hAnsi="Montserrat"/>
          <w:iCs/>
          <w:sz w:val="23"/>
          <w:szCs w:val="23"/>
        </w:rPr>
        <w:t xml:space="preserve">: </w:t>
      </w:r>
    </w:p>
    <w:p w14:paraId="53FE47FE" w14:textId="77777777" w:rsidR="00765917" w:rsidRPr="00552C2E" w:rsidRDefault="00765917" w:rsidP="00765917">
      <w:pPr>
        <w:pStyle w:val="NoSpacing"/>
        <w:rPr>
          <w:rFonts w:ascii="Montserrat" w:hAnsi="Montserrat"/>
        </w:rPr>
      </w:pPr>
      <w:r w:rsidRPr="00BE60C4">
        <w:t>      </w:t>
      </w:r>
      <w:r w:rsidRPr="00552C2E">
        <w:rPr>
          <w:rFonts w:ascii="Montserrat" w:hAnsi="Montserrat"/>
        </w:rPr>
        <w:t>U.S. Department of Agriculture</w:t>
      </w:r>
    </w:p>
    <w:p w14:paraId="5D1CBF14" w14:textId="77777777" w:rsidR="00765917" w:rsidRPr="00552C2E" w:rsidRDefault="00765917" w:rsidP="00765917">
      <w:pPr>
        <w:pStyle w:val="NoSpacing"/>
        <w:rPr>
          <w:rFonts w:ascii="Montserrat" w:hAnsi="Montserrat"/>
        </w:rPr>
      </w:pPr>
      <w:r w:rsidRPr="00552C2E">
        <w:rPr>
          <w:rFonts w:ascii="Montserrat" w:hAnsi="Montserrat"/>
        </w:rPr>
        <w:t>      Office of the Assistant Secretary for Civil Rights</w:t>
      </w:r>
    </w:p>
    <w:p w14:paraId="32DB3A02" w14:textId="77777777" w:rsidR="00765917" w:rsidRPr="00552C2E" w:rsidRDefault="00765917" w:rsidP="00765917">
      <w:pPr>
        <w:pStyle w:val="NoSpacing"/>
        <w:rPr>
          <w:rFonts w:ascii="Montserrat" w:hAnsi="Montserrat"/>
        </w:rPr>
      </w:pPr>
      <w:r w:rsidRPr="00552C2E">
        <w:rPr>
          <w:rFonts w:ascii="Montserrat" w:hAnsi="Montserrat"/>
        </w:rPr>
        <w:t>      1400 Independence Avenue, SW</w:t>
      </w:r>
    </w:p>
    <w:p w14:paraId="1F4D2D1B" w14:textId="77777777" w:rsidR="00765917" w:rsidRPr="00552C2E" w:rsidRDefault="00765917" w:rsidP="00765917">
      <w:pPr>
        <w:pStyle w:val="NoSpacing"/>
        <w:rPr>
          <w:rFonts w:ascii="Montserrat" w:hAnsi="Montserrat"/>
        </w:rPr>
      </w:pPr>
      <w:r w:rsidRPr="00552C2E">
        <w:rPr>
          <w:rFonts w:ascii="Montserrat" w:hAnsi="Montserrat"/>
        </w:rPr>
        <w:t>      Washington, D.C. 20250-9410; or</w:t>
      </w:r>
    </w:p>
    <w:p w14:paraId="6EC81822" w14:textId="77777777" w:rsidR="00765917" w:rsidRPr="00BE60C4" w:rsidRDefault="00765917" w:rsidP="00765917">
      <w:pPr>
        <w:jc w:val="both"/>
        <w:rPr>
          <w:rFonts w:ascii="Montserrat" w:hAnsi="Montserrat"/>
          <w:iCs/>
          <w:sz w:val="23"/>
          <w:szCs w:val="23"/>
          <w:lang w:val="es-PR"/>
        </w:rPr>
      </w:pPr>
      <w:r w:rsidRPr="00BE60C4">
        <w:rPr>
          <w:rFonts w:ascii="Montserrat" w:hAnsi="Montserrat"/>
          <w:iCs/>
          <w:sz w:val="23"/>
          <w:szCs w:val="23"/>
          <w:lang w:val="es-PR"/>
        </w:rPr>
        <w:t>2.   fax:</w:t>
      </w:r>
    </w:p>
    <w:p w14:paraId="0D52BA74" w14:textId="77777777" w:rsidR="00765917" w:rsidRPr="00BE60C4" w:rsidRDefault="00765917" w:rsidP="00765917">
      <w:pPr>
        <w:jc w:val="both"/>
        <w:rPr>
          <w:rFonts w:ascii="Montserrat" w:hAnsi="Montserrat"/>
          <w:iCs/>
          <w:sz w:val="23"/>
          <w:szCs w:val="23"/>
          <w:lang w:val="es-PR"/>
        </w:rPr>
      </w:pPr>
      <w:r w:rsidRPr="00BE60C4">
        <w:rPr>
          <w:rFonts w:ascii="Montserrat" w:hAnsi="Montserrat"/>
          <w:iCs/>
          <w:sz w:val="23"/>
          <w:szCs w:val="23"/>
          <w:lang w:val="es-PR"/>
        </w:rPr>
        <w:t>     (833) 256-1665 o (202) 690-7442; o</w:t>
      </w:r>
    </w:p>
    <w:p w14:paraId="39C7AF69" w14:textId="77777777" w:rsidR="00765917" w:rsidRPr="00BE60C4" w:rsidRDefault="00765917" w:rsidP="00765917">
      <w:pPr>
        <w:jc w:val="both"/>
        <w:rPr>
          <w:rFonts w:ascii="Montserrat" w:hAnsi="Montserrat"/>
          <w:iCs/>
          <w:sz w:val="23"/>
          <w:szCs w:val="23"/>
          <w:lang w:val="es-PR"/>
        </w:rPr>
      </w:pPr>
      <w:r w:rsidRPr="00BE60C4">
        <w:rPr>
          <w:rFonts w:ascii="Montserrat" w:hAnsi="Montserrat"/>
          <w:iCs/>
          <w:sz w:val="23"/>
          <w:szCs w:val="23"/>
          <w:lang w:val="es-PR"/>
        </w:rPr>
        <w:t>3.   correo electrónico:</w:t>
      </w:r>
    </w:p>
    <w:p w14:paraId="3CA11C9F" w14:textId="77777777" w:rsidR="00765917" w:rsidRPr="00BE60C4" w:rsidRDefault="00765917" w:rsidP="00765917">
      <w:pPr>
        <w:jc w:val="both"/>
        <w:rPr>
          <w:rFonts w:ascii="Montserrat" w:hAnsi="Montserrat"/>
          <w:iCs/>
          <w:sz w:val="23"/>
          <w:szCs w:val="23"/>
          <w:lang w:val="es-PR"/>
        </w:rPr>
      </w:pPr>
      <w:r w:rsidRPr="00BE60C4">
        <w:rPr>
          <w:rFonts w:ascii="Montserrat" w:hAnsi="Montserrat"/>
          <w:iCs/>
          <w:sz w:val="23"/>
          <w:szCs w:val="23"/>
          <w:lang w:val="es-PR"/>
        </w:rPr>
        <w:t xml:space="preserve">      </w:t>
      </w:r>
      <w:hyperlink r:id="rId9" w:history="1">
        <w:r w:rsidRPr="00BE60C4">
          <w:rPr>
            <w:rStyle w:val="Hyperlink"/>
            <w:rFonts w:ascii="Montserrat" w:hAnsi="Montserrat"/>
            <w:iCs/>
            <w:sz w:val="23"/>
            <w:szCs w:val="23"/>
            <w:lang w:val="es-PR"/>
          </w:rPr>
          <w:t>program.intake@usda.gov</w:t>
        </w:r>
      </w:hyperlink>
    </w:p>
    <w:p w14:paraId="0BD3D290" w14:textId="77777777" w:rsidR="00765917" w:rsidRPr="00BE60C4" w:rsidRDefault="00765917" w:rsidP="00765917">
      <w:pPr>
        <w:pStyle w:val="Default"/>
        <w:jc w:val="both"/>
        <w:rPr>
          <w:rFonts w:ascii="Montserrat" w:hAnsi="Montserrat"/>
          <w:iCs/>
          <w:color w:val="0562C1"/>
          <w:sz w:val="23"/>
          <w:szCs w:val="23"/>
          <w:lang w:val="es-PR"/>
        </w:rPr>
      </w:pPr>
    </w:p>
    <w:p w14:paraId="584186C6" w14:textId="77777777" w:rsidR="00765917" w:rsidRPr="00BE60C4" w:rsidRDefault="00765917" w:rsidP="00765917">
      <w:pPr>
        <w:pStyle w:val="BodyText2"/>
        <w:rPr>
          <w:rFonts w:ascii="Montserrat" w:hAnsi="Montserrat" w:cs="Tahoma"/>
          <w:b/>
          <w:bCs/>
          <w:iCs/>
          <w:sz w:val="23"/>
          <w:szCs w:val="23"/>
          <w:lang w:val="es-PR"/>
        </w:rPr>
      </w:pPr>
      <w:r w:rsidRPr="00BE60C4">
        <w:rPr>
          <w:rFonts w:ascii="Montserrat" w:hAnsi="Montserrat"/>
          <w:iCs/>
          <w:sz w:val="23"/>
          <w:szCs w:val="23"/>
          <w:lang w:val="es-PR"/>
        </w:rPr>
        <w:t xml:space="preserve">Esta </w:t>
      </w:r>
      <w:r>
        <w:rPr>
          <w:rFonts w:ascii="Montserrat" w:hAnsi="Montserrat"/>
          <w:iCs/>
          <w:sz w:val="23"/>
          <w:szCs w:val="23"/>
          <w:lang w:val="es-PR"/>
        </w:rPr>
        <w:t>institución</w:t>
      </w:r>
      <w:r w:rsidRPr="00BE60C4">
        <w:rPr>
          <w:rFonts w:ascii="Montserrat" w:hAnsi="Montserrat"/>
          <w:iCs/>
          <w:sz w:val="23"/>
          <w:szCs w:val="23"/>
          <w:lang w:val="es-PR"/>
        </w:rPr>
        <w:t xml:space="preserve"> es un proveedor que </w:t>
      </w:r>
      <w:r>
        <w:rPr>
          <w:rFonts w:ascii="Montserrat" w:hAnsi="Montserrat"/>
          <w:iCs/>
          <w:sz w:val="23"/>
          <w:szCs w:val="23"/>
          <w:lang w:val="es-PR"/>
        </w:rPr>
        <w:t>ofrece</w:t>
      </w:r>
      <w:r w:rsidRPr="00BE60C4">
        <w:rPr>
          <w:rFonts w:ascii="Montserrat" w:hAnsi="Montserrat"/>
          <w:iCs/>
          <w:sz w:val="23"/>
          <w:szCs w:val="23"/>
          <w:lang w:val="es-PR"/>
        </w:rPr>
        <w:t xml:space="preserve"> igualdad de oportunidades</w:t>
      </w:r>
    </w:p>
    <w:p w14:paraId="13CFA2E3" w14:textId="1FA89936" w:rsidR="00DB37AF" w:rsidRDefault="00DB37AF" w:rsidP="00871C12">
      <w:pPr>
        <w:rPr>
          <w:lang w:val="es-PR"/>
        </w:rPr>
      </w:pPr>
    </w:p>
    <w:p w14:paraId="220A6FAE" w14:textId="056B2F7F" w:rsidR="00DB37AF" w:rsidRDefault="00DB37AF" w:rsidP="00871C12">
      <w:pPr>
        <w:rPr>
          <w:lang w:val="es-PR"/>
        </w:rPr>
      </w:pPr>
    </w:p>
    <w:p w14:paraId="02CF6460" w14:textId="5351B992" w:rsidR="00FD6BD3" w:rsidRPr="00593EA8" w:rsidRDefault="00FD6BD3" w:rsidP="00871C12">
      <w:pPr>
        <w:rPr>
          <w:color w:val="0D0D0D" w:themeColor="text1" w:themeTint="F2"/>
          <w:sz w:val="16"/>
          <w:lang w:val="es-PR"/>
        </w:rPr>
      </w:pPr>
      <w:r w:rsidRPr="00593EA8">
        <w:rPr>
          <w:color w:val="0D0D0D" w:themeColor="text1" w:themeTint="F2"/>
          <w:sz w:val="16"/>
          <w:lang w:val="es-PR"/>
        </w:rPr>
        <w:t>R</w:t>
      </w:r>
      <w:r w:rsidR="00DB37AF" w:rsidRPr="00593EA8">
        <w:rPr>
          <w:color w:val="0D0D0D" w:themeColor="text1" w:themeTint="F2"/>
          <w:sz w:val="16"/>
          <w:lang w:val="es-PR"/>
        </w:rPr>
        <w:t>ev</w:t>
      </w:r>
      <w:r w:rsidRPr="00593EA8">
        <w:rPr>
          <w:color w:val="0D0D0D" w:themeColor="text1" w:themeTint="F2"/>
          <w:sz w:val="16"/>
          <w:lang w:val="es-PR"/>
        </w:rPr>
        <w:t xml:space="preserve">. </w:t>
      </w:r>
      <w:r w:rsidR="00593EA8" w:rsidRPr="00593EA8">
        <w:rPr>
          <w:color w:val="0D0D0D" w:themeColor="text1" w:themeTint="F2"/>
          <w:sz w:val="16"/>
          <w:lang w:val="es-PR"/>
        </w:rPr>
        <w:t>septiembre</w:t>
      </w:r>
      <w:r w:rsidR="00F42E5D" w:rsidRPr="00593EA8">
        <w:rPr>
          <w:color w:val="0D0D0D" w:themeColor="text1" w:themeTint="F2"/>
          <w:sz w:val="16"/>
          <w:lang w:val="es-PR"/>
        </w:rPr>
        <w:t xml:space="preserve"> </w:t>
      </w:r>
      <w:r w:rsidRPr="00593EA8">
        <w:rPr>
          <w:color w:val="0D0D0D" w:themeColor="text1" w:themeTint="F2"/>
          <w:sz w:val="16"/>
          <w:lang w:val="es-PR"/>
        </w:rPr>
        <w:t>2023</w:t>
      </w:r>
    </w:p>
    <w:p w14:paraId="6EC9B4B6" w14:textId="6D301D41" w:rsidR="00FD6BD3" w:rsidRPr="00FD6BD3" w:rsidRDefault="00FD6BD3" w:rsidP="00871C12">
      <w:pPr>
        <w:rPr>
          <w:color w:val="FF0000"/>
          <w:sz w:val="16"/>
          <w:lang w:val="es-PR"/>
        </w:rPr>
      </w:pPr>
    </w:p>
    <w:sectPr w:rsidR="00FD6BD3" w:rsidRPr="00FD6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0000500000000000000"/>
    <w:charset w:val="00"/>
    <w:family w:val="modern"/>
    <w:notTrueType/>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4966"/>
    <w:multiLevelType w:val="hybridMultilevel"/>
    <w:tmpl w:val="182E04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907D50"/>
    <w:multiLevelType w:val="hybridMultilevel"/>
    <w:tmpl w:val="8AF2EE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529427">
    <w:abstractNumId w:val="1"/>
  </w:num>
  <w:num w:numId="2" w16cid:durableId="647704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12"/>
    <w:rsid w:val="000B6036"/>
    <w:rsid w:val="000C2D40"/>
    <w:rsid w:val="003A1B02"/>
    <w:rsid w:val="00593EA8"/>
    <w:rsid w:val="007357CF"/>
    <w:rsid w:val="00765917"/>
    <w:rsid w:val="00871C12"/>
    <w:rsid w:val="009B26FD"/>
    <w:rsid w:val="00BF27A3"/>
    <w:rsid w:val="00DB37AF"/>
    <w:rsid w:val="00F42E5D"/>
    <w:rsid w:val="00FD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3F1D"/>
  <w15:chartTrackingRefBased/>
  <w15:docId w15:val="{AFC1721B-17F7-4A12-B4C9-42276500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C1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6ptBoldBefore6ptAfter6ptTopSinglesolid">
    <w:name w:val="Style 16 pt Bold Before:  6 pt After:  6 pt Top: (Single solid ..."/>
    <w:basedOn w:val="Normal"/>
    <w:rsid w:val="00871C12"/>
    <w:pPr>
      <w:pBdr>
        <w:top w:val="single" w:sz="4" w:space="1" w:color="auto"/>
        <w:bottom w:val="single" w:sz="4" w:space="1" w:color="auto"/>
      </w:pBdr>
      <w:shd w:val="clear" w:color="auto" w:fill="F3F3F3"/>
      <w:spacing w:before="960" w:after="120"/>
      <w:outlineLvl w:val="0"/>
    </w:pPr>
    <w:rPr>
      <w:b/>
      <w:bCs/>
      <w:sz w:val="32"/>
    </w:rPr>
  </w:style>
  <w:style w:type="paragraph" w:styleId="ListParagraph">
    <w:name w:val="List Paragraph"/>
    <w:basedOn w:val="Normal"/>
    <w:uiPriority w:val="34"/>
    <w:qFormat/>
    <w:rsid w:val="00871C12"/>
    <w:pPr>
      <w:ind w:left="720"/>
      <w:contextualSpacing/>
    </w:pPr>
  </w:style>
  <w:style w:type="character" w:styleId="Hyperlink">
    <w:name w:val="Hyperlink"/>
    <w:basedOn w:val="DefaultParagraphFont"/>
    <w:uiPriority w:val="99"/>
    <w:unhideWhenUsed/>
    <w:rsid w:val="00765917"/>
    <w:rPr>
      <w:color w:val="0563C1"/>
      <w:u w:val="single"/>
    </w:rPr>
  </w:style>
  <w:style w:type="paragraph" w:styleId="BodyText2">
    <w:name w:val="Body Text 2"/>
    <w:basedOn w:val="Normal"/>
    <w:link w:val="BodyText2Char"/>
    <w:uiPriority w:val="99"/>
    <w:semiHidden/>
    <w:unhideWhenUsed/>
    <w:rsid w:val="00765917"/>
    <w:pPr>
      <w:spacing w:after="120" w:line="480" w:lineRule="auto"/>
    </w:pPr>
    <w:rPr>
      <w:rFonts w:ascii="Times New Roman" w:eastAsiaTheme="minorHAnsi" w:hAnsi="Times New Roman"/>
      <w:sz w:val="24"/>
      <w:szCs w:val="24"/>
    </w:rPr>
  </w:style>
  <w:style w:type="character" w:customStyle="1" w:styleId="BodyText2Char">
    <w:name w:val="Body Text 2 Char"/>
    <w:basedOn w:val="DefaultParagraphFont"/>
    <w:link w:val="BodyText2"/>
    <w:uiPriority w:val="99"/>
    <w:semiHidden/>
    <w:rsid w:val="00765917"/>
    <w:rPr>
      <w:rFonts w:ascii="Times New Roman" w:hAnsi="Times New Roman" w:cs="Times New Roman"/>
      <w:sz w:val="24"/>
      <w:szCs w:val="24"/>
    </w:rPr>
  </w:style>
  <w:style w:type="paragraph" w:customStyle="1" w:styleId="Default">
    <w:name w:val="Default"/>
    <w:basedOn w:val="Normal"/>
    <w:rsid w:val="00765917"/>
    <w:pPr>
      <w:autoSpaceDE w:val="0"/>
      <w:autoSpaceDN w:val="0"/>
    </w:pPr>
    <w:rPr>
      <w:rFonts w:ascii="Times New Roman" w:eastAsiaTheme="minorHAnsi" w:hAnsi="Times New Roman"/>
      <w:color w:val="000000"/>
      <w:sz w:val="24"/>
      <w:szCs w:val="24"/>
    </w:rPr>
  </w:style>
  <w:style w:type="paragraph" w:styleId="NoSpacing">
    <w:name w:val="No Spacing"/>
    <w:uiPriority w:val="1"/>
    <w:qFormat/>
    <w:rsid w:val="0076591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F1DA3F3922745A585DF975EE3EE8C" ma:contentTypeVersion="15" ma:contentTypeDescription="Create a new document." ma:contentTypeScope="" ma:versionID="3d0a74fd45ef7f38b52812016f396dec">
  <xsd:schema xmlns:xsd="http://www.w3.org/2001/XMLSchema" xmlns:xs="http://www.w3.org/2001/XMLSchema" xmlns:p="http://schemas.microsoft.com/office/2006/metadata/properties" xmlns:ns3="b6d6bda7-2b86-4fe9-8c14-7a5abc86b34c" xmlns:ns4="3164fd49-0c5f-462e-ab5b-213a561b8d7f" targetNamespace="http://schemas.microsoft.com/office/2006/metadata/properties" ma:root="true" ma:fieldsID="d97e7661688f58ee2ce8f50c53de89d2" ns3:_="" ns4:_="">
    <xsd:import namespace="b6d6bda7-2b86-4fe9-8c14-7a5abc86b34c"/>
    <xsd:import namespace="3164fd49-0c5f-462e-ab5b-213a561b8d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bda7-2b86-4fe9-8c14-7a5abc86b3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4fd49-0c5f-462e-ab5b-213a561b8d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b6d6bda7-2b86-4fe9-8c14-7a5abc86b34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6454C-43DB-4A93-87EF-F1BC5305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6bda7-2b86-4fe9-8c14-7a5abc86b34c"/>
    <ds:schemaRef ds:uri="3164fd49-0c5f-462e-ab5b-213a561b8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BDE9E-926B-437F-936B-6E8213490BE1}">
  <ds:schemaRefs>
    <ds:schemaRef ds:uri="http://schemas.openxmlformats.org/officeDocument/2006/bibliography"/>
  </ds:schemaRefs>
</ds:datastoreItem>
</file>

<file path=customXml/itemProps3.xml><?xml version="1.0" encoding="utf-8"?>
<ds:datastoreItem xmlns:ds="http://schemas.openxmlformats.org/officeDocument/2006/customXml" ds:itemID="{0963F776-D895-4060-A591-ACD04B9072F7}">
  <ds:schemaRefs>
    <ds:schemaRef ds:uri="http://schemas.microsoft.com/office/2006/metadata/properties"/>
    <ds:schemaRef ds:uri="http://schemas.microsoft.com/office/2006/documentManagement/types"/>
    <ds:schemaRef ds:uri="http://purl.org/dc/dcmitype/"/>
    <ds:schemaRef ds:uri="3164fd49-0c5f-462e-ab5b-213a561b8d7f"/>
    <ds:schemaRef ds:uri="b6d6bda7-2b86-4fe9-8c14-7a5abc86b34c"/>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F5939413-FD70-4334-9F41-2188BB2215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Glorimar Bermudez Rodríguez</dc:creator>
  <cp:keywords/>
  <dc:description/>
  <cp:lastModifiedBy>Maria de Los A. Vega Benitez</cp:lastModifiedBy>
  <cp:revision>2</cp:revision>
  <dcterms:created xsi:type="dcterms:W3CDTF">2023-09-26T12:33:00Z</dcterms:created>
  <dcterms:modified xsi:type="dcterms:W3CDTF">2023-09-26T12:33:00Z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0x010100082F1DA3F3922745A585DF975EE3EE8C</vt:lpwstr>
  </property>
  <property fmtid="{D5CDD505-2E9C-101B-9397-08002B2CF9AE}" pid="3" name="GrammarlyDocumentId">
    <vt:lpwstr>c19a67b900b362e4c908ee3233ac9114e77bb6be482f89c87f3d49732ef9fd16</vt:lpwstr>
  </property>
</Properties>
</file>