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3C3D" w14:textId="77777777" w:rsidR="004073E0" w:rsidRPr="00FF0D89" w:rsidRDefault="004073E0" w:rsidP="004073E0">
      <w:pPr>
        <w:spacing w:after="50" w:line="240" w:lineRule="auto"/>
        <w:contextualSpacing/>
        <w:rPr>
          <w:rFonts w:ascii="Arial Narrow" w:hAnsi="Arial Narrow" w:cstheme="minorHAnsi"/>
          <w:sz w:val="20"/>
          <w:szCs w:val="20"/>
          <w:lang w:val="es-ES"/>
        </w:rPr>
      </w:pPr>
    </w:p>
    <w:p w14:paraId="28211E0B" w14:textId="1A4E7CB8" w:rsidR="00BE619A" w:rsidRPr="00FF0D89" w:rsidRDefault="004073E0" w:rsidP="00BE619A">
      <w:pPr>
        <w:spacing w:after="50" w:line="240" w:lineRule="auto"/>
        <w:contextualSpacing/>
        <w:jc w:val="center"/>
        <w:rPr>
          <w:rFonts w:ascii="Arial Narrow" w:hAnsi="Arial Narrow" w:cs="Times New Roman"/>
          <w:sz w:val="20"/>
          <w:szCs w:val="20"/>
          <w:lang w:val="es-ES"/>
        </w:rPr>
      </w:pPr>
      <w:proofErr w:type="spellStart"/>
      <w:r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Fact</w:t>
      </w:r>
      <w:proofErr w:type="spellEnd"/>
      <w:r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 xml:space="preserve"> </w:t>
      </w:r>
      <w:proofErr w:type="spellStart"/>
      <w:r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Sheet</w:t>
      </w:r>
      <w:proofErr w:type="spellEnd"/>
      <w:r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 xml:space="preserve"> - CARES </w:t>
      </w:r>
      <w:proofErr w:type="spellStart"/>
      <w:r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Act</w:t>
      </w:r>
      <w:proofErr w:type="spellEnd"/>
      <w:r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 xml:space="preserve">: </w:t>
      </w:r>
      <w:proofErr w:type="spellStart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Education</w:t>
      </w:r>
      <w:proofErr w:type="spellEnd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 xml:space="preserve"> </w:t>
      </w:r>
      <w:proofErr w:type="spellStart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Stabilization</w:t>
      </w:r>
      <w:proofErr w:type="spellEnd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 xml:space="preserve"> </w:t>
      </w:r>
      <w:proofErr w:type="spellStart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Relied</w:t>
      </w:r>
      <w:proofErr w:type="spellEnd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 xml:space="preserve"> </w:t>
      </w:r>
      <w:proofErr w:type="spellStart"/>
      <w:r w:rsidR="001A6B77" w:rsidRPr="00FF0D89">
        <w:rPr>
          <w:rFonts w:ascii="Arial Narrow" w:hAnsi="Arial Narrow" w:cs="Times New Roman"/>
          <w:sz w:val="20"/>
          <w:szCs w:val="20"/>
          <w:u w:val="single"/>
          <w:lang w:val="es-ES"/>
        </w:rPr>
        <w:t>Fund</w:t>
      </w:r>
      <w:proofErr w:type="spellEnd"/>
      <w:r w:rsidR="001A6B77" w:rsidRPr="00FF0D89">
        <w:rPr>
          <w:rFonts w:ascii="Arial Narrow" w:hAnsi="Arial Narrow" w:cs="Times New Roman"/>
          <w:sz w:val="20"/>
          <w:szCs w:val="20"/>
          <w:lang w:val="es-ES"/>
        </w:rPr>
        <w:t xml:space="preserve"> (Servicios Equitativos)</w:t>
      </w:r>
    </w:p>
    <w:p w14:paraId="71474C5E" w14:textId="77777777" w:rsidR="00BE619A" w:rsidRPr="00FF0D89" w:rsidRDefault="00BE619A" w:rsidP="00BE619A">
      <w:pPr>
        <w:spacing w:after="50" w:line="240" w:lineRule="auto"/>
        <w:contextualSpacing/>
        <w:jc w:val="center"/>
        <w:rPr>
          <w:rFonts w:ascii="Arial Narrow" w:hAnsi="Arial Narrow" w:cs="Times New Roman"/>
          <w:sz w:val="20"/>
          <w:szCs w:val="20"/>
          <w:u w:val="single"/>
          <w:lang w:val="es-ES"/>
        </w:rPr>
      </w:pPr>
    </w:p>
    <w:p w14:paraId="6407E1C4" w14:textId="7F4166E5" w:rsidR="004403B9" w:rsidRPr="00FF0D89" w:rsidRDefault="004403B9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El 27 de marzo de 2020, el Presidente de los Estados Unidos firmó la Ley de Ayuda, Alivio y Seguridad Económica </w:t>
      </w:r>
      <w:r w:rsidR="00A72063" w:rsidRPr="00FF0D89">
        <w:rPr>
          <w:rFonts w:ascii="Arial Narrow" w:hAnsi="Arial Narrow" w:cs="Times New Roman"/>
          <w:sz w:val="20"/>
          <w:szCs w:val="20"/>
          <w:lang w:val="es-ES"/>
        </w:rPr>
        <w:t>por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 Coronavirus (CARES</w:t>
      </w:r>
      <w:r w:rsidR="00A72063" w:rsidRPr="00FF0D89">
        <w:rPr>
          <w:rStyle w:val="FootnoteReference"/>
          <w:rFonts w:ascii="Arial Narrow" w:hAnsi="Arial Narrow" w:cs="Times New Roman"/>
          <w:sz w:val="20"/>
          <w:szCs w:val="20"/>
          <w:lang w:val="es-ES"/>
        </w:rPr>
        <w:footnoteReference w:id="1"/>
      </w:r>
      <w:r w:rsidR="00A72063" w:rsidRPr="00FF0D89">
        <w:rPr>
          <w:rFonts w:ascii="Arial Narrow" w:hAnsi="Arial Narrow" w:cs="Times New Roman"/>
          <w:sz w:val="20"/>
          <w:szCs w:val="20"/>
          <w:lang w:val="es-ES"/>
        </w:rPr>
        <w:t>, por sus siglas en inglés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). El propósito de la Ley CARES es </w:t>
      </w:r>
      <w:r w:rsidR="00A72063" w:rsidRPr="00FF0D89">
        <w:rPr>
          <w:rFonts w:ascii="Arial Narrow" w:hAnsi="Arial Narrow" w:cs="Times New Roman"/>
          <w:sz w:val="20"/>
          <w:szCs w:val="20"/>
          <w:lang w:val="es-ES"/>
        </w:rPr>
        <w:t>proveer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 a los estados fondos para prevenir, prepararse y responder a la amenaza de</w:t>
      </w:r>
      <w:r w:rsidR="00A72063" w:rsidRPr="00FF0D89">
        <w:rPr>
          <w:rFonts w:ascii="Arial Narrow" w:hAnsi="Arial Narrow" w:cs="Times New Roman"/>
          <w:sz w:val="20"/>
          <w:szCs w:val="20"/>
          <w:lang w:val="es-ES"/>
        </w:rPr>
        <w:t>l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 coronavirus.</w:t>
      </w:r>
    </w:p>
    <w:p w14:paraId="4592ED91" w14:textId="77777777" w:rsidR="00672256" w:rsidRPr="00FF0D89" w:rsidRDefault="00672256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p w14:paraId="2CABD541" w14:textId="09150AF4" w:rsidR="00A72063" w:rsidRPr="00FF0D89" w:rsidRDefault="007A11E9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B51A08">
        <w:rPr>
          <w:rFonts w:ascii="Arial Narrow" w:hAnsi="Arial Narrow" w:cs="Times New Roman"/>
          <w:sz w:val="20"/>
          <w:szCs w:val="20"/>
          <w:lang w:val="es-ES"/>
        </w:rPr>
        <w:t xml:space="preserve">Fecha de inicio: </w:t>
      </w:r>
      <w:r w:rsidRPr="00B51A08">
        <w:rPr>
          <w:rFonts w:ascii="Arial Narrow" w:hAnsi="Arial Narrow" w:cs="Times New Roman"/>
          <w:sz w:val="20"/>
          <w:szCs w:val="20"/>
          <w:u w:val="single"/>
          <w:lang w:val="es-ES"/>
        </w:rPr>
        <w:t>Aún no se ha determinado la fecha de inicio del programa</w:t>
      </w:r>
      <w:r w:rsidRPr="00B51A08">
        <w:rPr>
          <w:rFonts w:ascii="Arial Narrow" w:hAnsi="Arial Narrow" w:cs="Times New Roman"/>
          <w:sz w:val="20"/>
          <w:szCs w:val="20"/>
          <w:lang w:val="es-ES"/>
        </w:rPr>
        <w:t xml:space="preserve">. </w:t>
      </w:r>
    </w:p>
    <w:p w14:paraId="12FB23F4" w14:textId="479F0E00" w:rsidR="004B0F39" w:rsidRPr="00FF0D89" w:rsidRDefault="004B0F39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p w14:paraId="3BE8DEFB" w14:textId="6EF4077D" w:rsidR="004B0F39" w:rsidRPr="00FF0D89" w:rsidRDefault="001A6B77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Vigencia de los fondos: Hasta el 30 de septiembre de 2021.</w:t>
      </w:r>
    </w:p>
    <w:p w14:paraId="22D041BF" w14:textId="2A76EF44" w:rsidR="001A6B77" w:rsidRPr="00FF0D89" w:rsidRDefault="001A6B77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p w14:paraId="2FC5C3FE" w14:textId="17E13DA5" w:rsidR="001A6B77" w:rsidRPr="00FF0D89" w:rsidRDefault="001A6B77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Uso de los fondos:</w:t>
      </w:r>
    </w:p>
    <w:p w14:paraId="2C1BF62F" w14:textId="2C905A01" w:rsidR="001A6B77" w:rsidRPr="00FF0D89" w:rsidRDefault="001A6B77" w:rsidP="001A6B77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Actividades autorizadas bajo la Ley ESEA de 1965, la Ley de Educación para Individuos con Discapacidades (“IDEA”, por sus siglas en inglés), la Ley de Educación de Adultos y Alfabetización Familiar (AEFLA, por sus siglas en inglés), la Ley Carl D. </w:t>
      </w:r>
      <w:proofErr w:type="spellStart"/>
      <w:r w:rsidRPr="00FF0D89">
        <w:rPr>
          <w:rFonts w:ascii="Arial Narrow" w:hAnsi="Arial Narrow" w:cs="Times New Roman"/>
          <w:sz w:val="20"/>
          <w:szCs w:val="20"/>
          <w:lang w:val="es-ES"/>
        </w:rPr>
        <w:t>Perkins</w:t>
      </w:r>
      <w:proofErr w:type="spellEnd"/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 de Educación Ocupacional y Técnica de 2006 (“Ley </w:t>
      </w:r>
      <w:proofErr w:type="spellStart"/>
      <w:r w:rsidRPr="00FF0D89">
        <w:rPr>
          <w:rFonts w:ascii="Arial Narrow" w:hAnsi="Arial Narrow" w:cs="Times New Roman"/>
          <w:sz w:val="20"/>
          <w:szCs w:val="20"/>
          <w:lang w:val="es-ES"/>
        </w:rPr>
        <w:t>Perkins</w:t>
      </w:r>
      <w:proofErr w:type="spellEnd"/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”), o el subtítulo B del título VII de la Ley de Asistencia para Personas sin Hogar </w:t>
      </w:r>
      <w:proofErr w:type="spellStart"/>
      <w:r w:rsidRPr="00FF0D89">
        <w:rPr>
          <w:rFonts w:ascii="Arial Narrow" w:hAnsi="Arial Narrow" w:cs="Times New Roman"/>
          <w:sz w:val="20"/>
          <w:szCs w:val="20"/>
          <w:lang w:val="es-ES"/>
        </w:rPr>
        <w:t>McKinney-Vento</w:t>
      </w:r>
      <w:proofErr w:type="spellEnd"/>
      <w:r w:rsidRPr="00FF0D89">
        <w:rPr>
          <w:rFonts w:ascii="Arial Narrow" w:hAnsi="Arial Narrow" w:cs="Times New Roman"/>
          <w:sz w:val="20"/>
          <w:szCs w:val="20"/>
          <w:lang w:val="es-ES"/>
        </w:rPr>
        <w:t>.</w:t>
      </w:r>
    </w:p>
    <w:p w14:paraId="38D9B414" w14:textId="40664E76" w:rsidR="001A6B77" w:rsidRPr="00FF0D89" w:rsidRDefault="001A6B77" w:rsidP="001A6B77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Actividades para atender </w:t>
      </w:r>
      <w:r w:rsidR="00567A58" w:rsidRPr="00FF0D89">
        <w:rPr>
          <w:rFonts w:ascii="Arial Narrow" w:hAnsi="Arial Narrow" w:cs="Times New Roman"/>
          <w:sz w:val="20"/>
          <w:szCs w:val="20"/>
          <w:lang w:val="es-ES"/>
        </w:rPr>
        <w:t xml:space="preserve">a los 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niños o estudiantes de bajos ingresos, niños con discapacidades, aprendices del </w:t>
      </w:r>
      <w:r w:rsidR="00206C3D" w:rsidRPr="00FF0D89">
        <w:rPr>
          <w:rFonts w:ascii="Arial Narrow" w:hAnsi="Arial Narrow" w:cs="Times New Roman"/>
          <w:sz w:val="20"/>
          <w:szCs w:val="20"/>
          <w:lang w:val="es-ES"/>
        </w:rPr>
        <w:t>español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>, minorías raciales y étnicas, estudiantes sin hogar y jóvenes en hogares de acogida temporal, incluyendo la forma en que la divulgación y la prestación de servicios satisfarán las necesidades de cada población.</w:t>
      </w:r>
    </w:p>
    <w:p w14:paraId="1A7B8639" w14:textId="17BE0EB9" w:rsidR="00206C3D" w:rsidRPr="00FF0D89" w:rsidRDefault="00206C3D" w:rsidP="001A6B77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Proveer:</w:t>
      </w:r>
    </w:p>
    <w:p w14:paraId="32669A89" w14:textId="220E8FBC" w:rsidR="00206C3D" w:rsidRPr="00FF0D89" w:rsidRDefault="00206C3D" w:rsidP="00206C3D">
      <w:pPr>
        <w:pStyle w:val="ListParagraph"/>
        <w:numPr>
          <w:ilvl w:val="1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Tecnología educativa (incluyendo hardware, software y conectividad) que ayude con la interacción educativa regular y sustantiva entre los estudiantes y sus instructores en el salón de clases</w:t>
      </w:r>
    </w:p>
    <w:p w14:paraId="23ACF5C4" w14:textId="67F94FE5" w:rsidR="00206C3D" w:rsidRPr="00FF0D89" w:rsidRDefault="00206C3D" w:rsidP="00206C3D">
      <w:pPr>
        <w:pStyle w:val="ListParagraph"/>
        <w:numPr>
          <w:ilvl w:val="1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Orientación para cumplir con los requisitos de IDEA y otros servicios educativos (por ejemplo, educadores que brindan servicios a través de plataformas digitales o en línea, servicios de asesoramiento y servicios de orientación compatibles con los requisitos federales, estatales y locales)</w:t>
      </w:r>
    </w:p>
    <w:p w14:paraId="07C9B323" w14:textId="19C750EB" w:rsidR="00206C3D" w:rsidRPr="00FF0D89" w:rsidRDefault="00206C3D" w:rsidP="00206C3D">
      <w:pPr>
        <w:pStyle w:val="ListParagraph"/>
        <w:numPr>
          <w:ilvl w:val="1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Servicios</w:t>
      </w:r>
      <w:r w:rsidR="00567A58" w:rsidRPr="00FF0D89">
        <w:rPr>
          <w:rFonts w:ascii="Arial Narrow" w:hAnsi="Arial Narrow" w:cs="Times New Roman"/>
          <w:sz w:val="20"/>
          <w:szCs w:val="20"/>
          <w:lang w:val="es-ES"/>
        </w:rPr>
        <w:t xml:space="preserve"> de apoyo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 y ayudas </w:t>
      </w:r>
      <w:r w:rsidR="00567A58" w:rsidRPr="00FF0D89">
        <w:rPr>
          <w:rFonts w:ascii="Arial Narrow" w:hAnsi="Arial Narrow" w:cs="Times New Roman"/>
          <w:sz w:val="20"/>
          <w:szCs w:val="20"/>
          <w:lang w:val="es-ES"/>
        </w:rPr>
        <w:t>relacionadas al área socio-emocional</w:t>
      </w:r>
    </w:p>
    <w:p w14:paraId="32BCDB2C" w14:textId="7D6AF316" w:rsidR="00206C3D" w:rsidRPr="00FF0D89" w:rsidRDefault="00206C3D" w:rsidP="00206C3D">
      <w:pPr>
        <w:pStyle w:val="ListParagraph"/>
        <w:numPr>
          <w:ilvl w:val="1"/>
          <w:numId w:val="6"/>
        </w:numPr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Planificar e implementar actividades relacionadas con el aprendizaje de verano y programas suplementarios para después de la escuela, que incluyen proveer instrucción en el salón de clases o aprendizaje en línea</w:t>
      </w:r>
    </w:p>
    <w:p w14:paraId="67A2B4A7" w14:textId="63520103" w:rsidR="00206C3D" w:rsidRPr="00FF0D89" w:rsidRDefault="00206C3D" w:rsidP="00206C3D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Abordar las necesidades </w:t>
      </w:r>
      <w:r w:rsidR="007A1D2E" w:rsidRPr="00FF0D89">
        <w:rPr>
          <w:rFonts w:ascii="Arial Narrow" w:hAnsi="Arial Narrow" w:cs="Times New Roman"/>
          <w:sz w:val="20"/>
          <w:szCs w:val="20"/>
          <w:lang w:val="es-ES"/>
        </w:rPr>
        <w:t>de las escuelas individualmente como resultado del coronavirus y el cierre de escuelas</w:t>
      </w:r>
    </w:p>
    <w:p w14:paraId="5D303D18" w14:textId="6EB88E86" w:rsidR="007A1D2E" w:rsidRPr="00FF0D89" w:rsidRDefault="007A1D2E" w:rsidP="007A1D2E">
      <w:pPr>
        <w:pStyle w:val="ListParagraph"/>
        <w:numPr>
          <w:ilvl w:val="0"/>
          <w:numId w:val="6"/>
        </w:numPr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Coordinación de los esfuerzos de preparación y respuesta de las regiones y otras agencias relevantes, para para prevenir, prepararse y responder al coronavirus.</w:t>
      </w:r>
    </w:p>
    <w:p w14:paraId="5BFDB983" w14:textId="0342C53C" w:rsidR="007A1D2E" w:rsidRPr="00FF0D89" w:rsidRDefault="007A1D2E" w:rsidP="007A1D2E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Desarrollo profesional para minimizar la propagación de enfermedades infecciosas (por ejemplo, capacitación en saneamiento)</w:t>
      </w:r>
    </w:p>
    <w:p w14:paraId="3395347D" w14:textId="49E12F38" w:rsidR="007A1D2E" w:rsidRPr="00FF0D89" w:rsidRDefault="00853480" w:rsidP="007A1D2E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Limpieza y desinfección de edificios escolares y de las regiones</w:t>
      </w:r>
    </w:p>
    <w:p w14:paraId="5EDD4F88" w14:textId="0E780770" w:rsidR="00853480" w:rsidRPr="00FF0D89" w:rsidRDefault="00853480" w:rsidP="00614CEE">
      <w:pPr>
        <w:pStyle w:val="ListParagraph"/>
        <w:numPr>
          <w:ilvl w:val="0"/>
          <w:numId w:val="6"/>
        </w:numPr>
        <w:spacing w:after="50" w:line="240" w:lineRule="auto"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Otras actividades que son necesarias para mantener la operación y continuidad de los servicios</w:t>
      </w:r>
    </w:p>
    <w:p w14:paraId="05A76F98" w14:textId="131D7BF5" w:rsidR="004403B9" w:rsidRPr="00FF0D89" w:rsidRDefault="004403B9" w:rsidP="00BE619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p w14:paraId="42519AEF" w14:textId="6094A424" w:rsidR="00853480" w:rsidRPr="00FF0D89" w:rsidRDefault="00853480" w:rsidP="0097551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>La Ley CARES y las escuelas privadas: El DEPR debe proveer servicios equitativos a estudiantes y maestros de escuelas privadas</w:t>
      </w:r>
      <w:r w:rsidR="00FF0D89" w:rsidRPr="00FF0D89">
        <w:rPr>
          <w:rFonts w:ascii="Arial Narrow" w:hAnsi="Arial Narrow" w:cs="Times New Roman"/>
          <w:sz w:val="20"/>
          <w:szCs w:val="20"/>
          <w:lang w:val="es-ES"/>
        </w:rPr>
        <w:t xml:space="preserve"> elegibles y que hayan solicitado participar de estos fondos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. </w:t>
      </w:r>
      <w:r w:rsidR="0097551A" w:rsidRPr="00FF0D89">
        <w:rPr>
          <w:rFonts w:ascii="Arial Narrow" w:hAnsi="Arial Narrow" w:cs="Times New Roman"/>
          <w:sz w:val="20"/>
          <w:szCs w:val="20"/>
          <w:lang w:val="es-ES"/>
        </w:rPr>
        <w:t xml:space="preserve">El DEPR debe informar a cualquier escuela privada en la cual el DEPR consulta regularmente para Servicios Equitativos de Título I de la posibilidad de participar en fondos federales adicionales para el próximo año escolar 2020-2021; incluso aquellas escuelas privadas que </w:t>
      </w:r>
      <w:r w:rsidR="00FF0D89" w:rsidRPr="00FF0D89">
        <w:rPr>
          <w:rFonts w:ascii="Arial Narrow" w:hAnsi="Arial Narrow" w:cs="Times New Roman"/>
          <w:sz w:val="20"/>
          <w:szCs w:val="20"/>
          <w:lang w:val="es-ES"/>
        </w:rPr>
        <w:t>hayan</w:t>
      </w:r>
      <w:r w:rsidR="0097551A" w:rsidRPr="00FF0D89">
        <w:rPr>
          <w:rFonts w:ascii="Arial Narrow" w:hAnsi="Arial Narrow" w:cs="Times New Roman"/>
          <w:sz w:val="20"/>
          <w:szCs w:val="20"/>
          <w:lang w:val="es-ES"/>
        </w:rPr>
        <w:t xml:space="preserve"> rechazado</w:t>
      </w:r>
      <w:r w:rsidR="00FF0D89" w:rsidRPr="00FF0D89">
        <w:rPr>
          <w:rFonts w:ascii="Arial Narrow" w:hAnsi="Arial Narrow" w:cs="Times New Roman"/>
          <w:sz w:val="20"/>
          <w:szCs w:val="20"/>
          <w:lang w:val="es-ES"/>
        </w:rPr>
        <w:t xml:space="preserve"> en el pasado</w:t>
      </w:r>
      <w:r w:rsidR="0097551A" w:rsidRPr="00FF0D89">
        <w:rPr>
          <w:rFonts w:ascii="Arial Narrow" w:hAnsi="Arial Narrow" w:cs="Times New Roman"/>
          <w:sz w:val="20"/>
          <w:szCs w:val="20"/>
          <w:lang w:val="es-ES"/>
        </w:rPr>
        <w:t xml:space="preserve"> los servicios </w:t>
      </w:r>
      <w:r w:rsidR="00FF0D89" w:rsidRPr="00FF0D89">
        <w:rPr>
          <w:rFonts w:ascii="Arial Narrow" w:hAnsi="Arial Narrow" w:cs="Times New Roman"/>
          <w:sz w:val="20"/>
          <w:szCs w:val="20"/>
          <w:lang w:val="es-ES"/>
        </w:rPr>
        <w:t>de otros programas federales</w:t>
      </w:r>
      <w:r w:rsidR="0097551A" w:rsidRPr="00FF0D89">
        <w:rPr>
          <w:rFonts w:ascii="Arial Narrow" w:hAnsi="Arial Narrow" w:cs="Times New Roman"/>
          <w:sz w:val="20"/>
          <w:szCs w:val="20"/>
          <w:lang w:val="es-ES"/>
        </w:rPr>
        <w:t xml:space="preserve">. Una escuela privada no tiene que haber participado anualmente en los Servicios Equitativos de Título I para solicitar fondos bajo la Ley CARES. La Ley CARES dispone que 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el DEPR debe realizar una consulta oportuna y significativa con los funcionarios de las escuelas privadas </w:t>
      </w:r>
      <w:r w:rsidR="0097551A" w:rsidRPr="00FF0D89">
        <w:rPr>
          <w:rFonts w:ascii="Arial Narrow" w:hAnsi="Arial Narrow" w:cs="Times New Roman"/>
          <w:sz w:val="20"/>
          <w:szCs w:val="20"/>
          <w:lang w:val="es-ES"/>
        </w:rPr>
        <w:t>con relación a estos fondos.</w:t>
      </w:r>
    </w:p>
    <w:p w14:paraId="3021F374" w14:textId="21856769" w:rsidR="0097551A" w:rsidRPr="00FF0D89" w:rsidRDefault="0097551A" w:rsidP="0097551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</w:p>
    <w:p w14:paraId="15DCD873" w14:textId="6157DBBB" w:rsidR="0097551A" w:rsidRPr="00FF0D89" w:rsidRDefault="0097551A" w:rsidP="0097551A">
      <w:pPr>
        <w:spacing w:after="50" w:line="240" w:lineRule="auto"/>
        <w:contextualSpacing/>
        <w:jc w:val="both"/>
        <w:rPr>
          <w:rFonts w:ascii="Arial Narrow" w:hAnsi="Arial Narrow" w:cs="Times New Roman"/>
          <w:sz w:val="20"/>
          <w:szCs w:val="20"/>
          <w:lang w:val="es-ES"/>
        </w:rPr>
      </w:pP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Nota: Sólo podrán participar aquellas escuelas </w:t>
      </w:r>
      <w:r w:rsidR="00FF0D89" w:rsidRPr="00FF0D89">
        <w:rPr>
          <w:rFonts w:ascii="Arial Narrow" w:hAnsi="Arial Narrow" w:cs="Times New Roman"/>
          <w:sz w:val="20"/>
          <w:szCs w:val="20"/>
          <w:lang w:val="es-ES"/>
        </w:rPr>
        <w:t xml:space="preserve">privadas sin fines de lucro, 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>que ofrecen K-12</w:t>
      </w:r>
      <w:r w:rsidR="00FF0D89" w:rsidRPr="00FF0D89">
        <w:rPr>
          <w:rFonts w:ascii="Arial Narrow" w:hAnsi="Arial Narrow" w:cs="Times New Roman"/>
          <w:sz w:val="20"/>
          <w:szCs w:val="20"/>
          <w:lang w:val="es-ES"/>
        </w:rPr>
        <w:t>, y que hayan participado del proceso de consulta de estos fondos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 xml:space="preserve">. Además, con relación a la tecnología y la conectividad, estos servicios equitativos, incluyendo materiales y equipo, deben </w:t>
      </w:r>
      <w:r w:rsidR="0056456B" w:rsidRPr="00FF0D89">
        <w:rPr>
          <w:rFonts w:ascii="Arial Narrow" w:hAnsi="Arial Narrow" w:cs="Times New Roman"/>
          <w:sz w:val="20"/>
          <w:szCs w:val="20"/>
          <w:lang w:val="es-ES"/>
        </w:rPr>
        <w:t xml:space="preserve">ser </w:t>
      </w:r>
      <w:r w:rsidRPr="00FF0D89">
        <w:rPr>
          <w:rFonts w:ascii="Arial Narrow" w:hAnsi="Arial Narrow" w:cs="Times New Roman"/>
          <w:sz w:val="20"/>
          <w:szCs w:val="20"/>
          <w:lang w:val="es-ES"/>
        </w:rPr>
        <w:t>seculares, neutrales</w:t>
      </w:r>
      <w:r w:rsidR="00AD61EE" w:rsidRPr="00FF0D89">
        <w:rPr>
          <w:rFonts w:ascii="Arial Narrow" w:hAnsi="Arial Narrow" w:cs="Times New Roman"/>
          <w:sz w:val="20"/>
          <w:szCs w:val="20"/>
          <w:lang w:val="es-ES"/>
        </w:rPr>
        <w:t xml:space="preserve"> y laicos.</w:t>
      </w:r>
    </w:p>
    <w:sectPr w:rsidR="0097551A" w:rsidRPr="00FF0D89" w:rsidSect="00FF0D89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0B17" w14:textId="77777777" w:rsidR="00E9257A" w:rsidRDefault="00E9257A" w:rsidP="00784C91">
      <w:pPr>
        <w:spacing w:after="0" w:line="240" w:lineRule="auto"/>
      </w:pPr>
      <w:r>
        <w:separator/>
      </w:r>
    </w:p>
  </w:endnote>
  <w:endnote w:type="continuationSeparator" w:id="0">
    <w:p w14:paraId="1864D674" w14:textId="77777777" w:rsidR="00E9257A" w:rsidRDefault="00E9257A" w:rsidP="0078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D267" w14:textId="77777777" w:rsidR="004073E0" w:rsidRDefault="004073E0" w:rsidP="004073E0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</w:rPr>
      <w:drawing>
        <wp:anchor distT="0" distB="0" distL="114300" distR="114300" simplePos="0" relativeHeight="251663360" behindDoc="0" locked="0" layoutInCell="1" allowOverlap="1" wp14:anchorId="71063B2B" wp14:editId="08475F63">
          <wp:simplePos x="0" y="0"/>
          <wp:positionH relativeFrom="column">
            <wp:posOffset>5709580</wp:posOffset>
          </wp:positionH>
          <wp:positionV relativeFrom="paragraph">
            <wp:posOffset>58080</wp:posOffset>
          </wp:positionV>
          <wp:extent cx="965324" cy="265166"/>
          <wp:effectExtent l="0" t="0" r="6350" b="1905"/>
          <wp:wrapNone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65324" cy="265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E6F84" w14:textId="77777777" w:rsidR="004073E0" w:rsidRPr="00206EA8" w:rsidRDefault="004073E0" w:rsidP="004073E0">
    <w:pPr>
      <w:pStyle w:val="Footer"/>
      <w:ind w:left="-270"/>
      <w:jc w:val="center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016E3" wp14:editId="431ABFC2">
              <wp:simplePos x="0" y="0"/>
              <wp:positionH relativeFrom="margin">
                <wp:posOffset>33682</wp:posOffset>
              </wp:positionH>
              <wp:positionV relativeFrom="paragraph">
                <wp:posOffset>159831</wp:posOffset>
              </wp:positionV>
              <wp:extent cx="63150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2A87E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5pt,12.6pt" to="499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" strokecolor="gray [1629]" strokeweight=".5pt">
              <v:stroke joinstyle="miter"/>
              <w10:wrap anchorx="margin"/>
            </v:line>
          </w:pict>
        </mc:Fallback>
      </mc:AlternateConten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P.O. Box 190759, San Juan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,</w:t>
    </w:r>
    <w:r w:rsidRPr="00375E1E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PR  00919-0759</w:t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 xml:space="preserve"> </w:t>
    </w:r>
    <w:r w:rsidRPr="00375E1E">
      <w:rPr>
        <w:rFonts w:ascii="Times New Roman" w:hAnsi="Times New Roman" w:cs="Times New Roman"/>
        <w:color w:val="FFC000" w:themeColor="accent4"/>
        <w:spacing w:val="20"/>
        <w:lang w:val="es-PR"/>
      </w:rPr>
      <w:t xml:space="preserve">• </w:t>
    </w:r>
    <w:r w:rsidRPr="00375E1E"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Tel.: (787)773-</w:t>
    </w:r>
    <w:r>
      <w:rPr>
        <w:rFonts w:ascii="Times New Roman" w:hAnsi="Times New Roman" w:cs="Times New Roman"/>
        <w:color w:val="767171" w:themeColor="background2" w:themeShade="80"/>
        <w:spacing w:val="20"/>
        <w:lang w:val="es-PR"/>
      </w:rPr>
      <w:t>2003</w:t>
    </w:r>
  </w:p>
  <w:p w14:paraId="67A8FA56" w14:textId="77777777" w:rsidR="004073E0" w:rsidRPr="0018165D" w:rsidRDefault="004073E0" w:rsidP="004073E0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</w:t>
    </w:r>
    <w:r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  <w:p w14:paraId="60453FBE" w14:textId="77777777" w:rsidR="004073E0" w:rsidRDefault="0040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391D" w14:textId="77777777" w:rsidR="00E9257A" w:rsidRDefault="00E9257A" w:rsidP="00784C91">
      <w:pPr>
        <w:spacing w:after="0" w:line="240" w:lineRule="auto"/>
      </w:pPr>
      <w:r>
        <w:separator/>
      </w:r>
    </w:p>
  </w:footnote>
  <w:footnote w:type="continuationSeparator" w:id="0">
    <w:p w14:paraId="0562EFF5" w14:textId="77777777" w:rsidR="00E9257A" w:rsidRDefault="00E9257A" w:rsidP="00784C91">
      <w:pPr>
        <w:spacing w:after="0" w:line="240" w:lineRule="auto"/>
      </w:pPr>
      <w:r>
        <w:continuationSeparator/>
      </w:r>
    </w:p>
  </w:footnote>
  <w:footnote w:id="1">
    <w:p w14:paraId="46AC13DB" w14:textId="4FA238F5" w:rsidR="00A72063" w:rsidRPr="00A72063" w:rsidRDefault="00A72063">
      <w:pPr>
        <w:pStyle w:val="FootnoteText"/>
        <w:rPr>
          <w:sz w:val="16"/>
          <w:szCs w:val="16"/>
        </w:rPr>
      </w:pPr>
      <w:r w:rsidRPr="00A72063">
        <w:rPr>
          <w:rStyle w:val="FootnoteReference"/>
          <w:sz w:val="16"/>
          <w:szCs w:val="16"/>
        </w:rPr>
        <w:footnoteRef/>
      </w:r>
      <w:r w:rsidRPr="00A72063">
        <w:rPr>
          <w:sz w:val="16"/>
          <w:szCs w:val="16"/>
        </w:rPr>
        <w:t xml:space="preserve"> Coronavirus Aid, Relief, and Economic Security (CARES) Act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1DA44" w14:textId="77777777" w:rsidR="004073E0" w:rsidRDefault="004073E0" w:rsidP="004073E0">
    <w:pPr>
      <w:pStyle w:val="Header"/>
      <w:ind w:left="1710"/>
      <w:rPr>
        <w:rFonts w:ascii="Times New Roman" w:hAnsi="Times New Roman" w:cs="Times New Roman"/>
        <w:spacing w:val="20"/>
        <w:sz w:val="28"/>
      </w:rPr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1F9945CA" wp14:editId="342F0DF5">
          <wp:simplePos x="0" y="0"/>
          <wp:positionH relativeFrom="column">
            <wp:posOffset>-312344</wp:posOffset>
          </wp:positionH>
          <wp:positionV relativeFrom="paragraph">
            <wp:posOffset>-28915</wp:posOffset>
          </wp:positionV>
          <wp:extent cx="959668" cy="959668"/>
          <wp:effectExtent l="0" t="0" r="0" b="0"/>
          <wp:wrapNone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85" cy="96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F3353" w14:textId="4C28AB91" w:rsidR="004073E0" w:rsidRPr="00A0727B" w:rsidRDefault="004403B9" w:rsidP="004403B9">
    <w:pPr>
      <w:pStyle w:val="Header"/>
      <w:tabs>
        <w:tab w:val="clear" w:pos="4680"/>
        <w:tab w:val="clear" w:pos="9360"/>
      </w:tabs>
      <w:rPr>
        <w:color w:val="808080" w:themeColor="background1" w:themeShade="8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ab/>
    </w: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ab/>
    </w:r>
    <w:r w:rsidR="004073E0"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GOBIERNO DE PUERTO RICO</w:t>
    </w:r>
  </w:p>
  <w:p w14:paraId="0290E214" w14:textId="16C8E07A" w:rsidR="004073E0" w:rsidRPr="00A0727B" w:rsidRDefault="004073E0" w:rsidP="004073E0">
    <w:pPr>
      <w:pStyle w:val="Header"/>
      <w:ind w:left="1800" w:hanging="90"/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 w:rsidRPr="00A0727B">
      <w:rPr>
        <w:rFonts w:ascii="Times New Roman" w:hAnsi="Times New Roman" w:cs="Times New Roman"/>
        <w:noProof/>
        <w:color w:val="808080" w:themeColor="background1" w:themeShade="80"/>
        <w:spacing w:val="20"/>
        <w:lang w:val="es-PR" w:eastAsia="es-P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46AA11" wp14:editId="76BF700F">
              <wp:simplePos x="0" y="0"/>
              <wp:positionH relativeFrom="column">
                <wp:posOffset>712433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DD996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4pt" to="443.1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" strokecolor="#7f7f7f [1612]" strokeweight=".5pt">
              <v:stroke joinstyle="miter"/>
            </v:line>
          </w:pict>
        </mc:Fallback>
      </mc:AlternateContent>
    </w:r>
  </w:p>
  <w:p w14:paraId="0B3DD476" w14:textId="5F157D86" w:rsidR="004073E0" w:rsidRPr="00A0727B" w:rsidRDefault="004403B9" w:rsidP="004403B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Calibri" w:hAnsi="Calibri" w:cs="Times New Roman"/>
        <w:color w:val="808080" w:themeColor="background1" w:themeShade="80"/>
        <w:spacing w:val="20"/>
        <w:lang w:val="es-PR"/>
      </w:rPr>
      <w:tab/>
    </w:r>
    <w:r>
      <w:rPr>
        <w:rFonts w:ascii="Calibri" w:hAnsi="Calibri" w:cs="Times New Roman"/>
        <w:color w:val="808080" w:themeColor="background1" w:themeShade="80"/>
        <w:spacing w:val="20"/>
        <w:lang w:val="es-PR"/>
      </w:rPr>
      <w:tab/>
    </w:r>
    <w:r w:rsidR="004073E0"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DEPARTAMENTO DE EDUCACIÓN</w:t>
    </w:r>
  </w:p>
  <w:p w14:paraId="3884A2C3" w14:textId="4CA08756" w:rsidR="00853480" w:rsidRPr="004073E0" w:rsidRDefault="004403B9" w:rsidP="004403B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ab/>
    </w:r>
    <w:r>
      <w:rPr>
        <w:rFonts w:ascii="Times New Roman" w:hAnsi="Times New Roman" w:cs="Times New Roman"/>
        <w:color w:val="808080" w:themeColor="background1" w:themeShade="80"/>
        <w:spacing w:val="20"/>
        <w:lang w:val="es-PR"/>
      </w:rPr>
      <w:tab/>
    </w:r>
    <w:r w:rsidR="004073E0" w:rsidRPr="00A0727B">
      <w:rPr>
        <w:rFonts w:ascii="Times New Roman" w:hAnsi="Times New Roman" w:cs="Times New Roman"/>
        <w:color w:val="808080" w:themeColor="background1" w:themeShade="80"/>
        <w:spacing w:val="20"/>
        <w:lang w:val="es-PR"/>
      </w:rPr>
      <w:t>SECRETARÍA AUXILIAR DE ASUNTOS FEDERALES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85B0C"/>
    <w:multiLevelType w:val="hybridMultilevel"/>
    <w:tmpl w:val="418CE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258B5"/>
    <w:multiLevelType w:val="hybridMultilevel"/>
    <w:tmpl w:val="CA2A3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32E8"/>
    <w:multiLevelType w:val="hybridMultilevel"/>
    <w:tmpl w:val="3884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6018"/>
    <w:multiLevelType w:val="hybridMultilevel"/>
    <w:tmpl w:val="8FA4F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A207A0"/>
    <w:multiLevelType w:val="hybridMultilevel"/>
    <w:tmpl w:val="65C4A992"/>
    <w:lvl w:ilvl="0" w:tplc="50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9393FC8"/>
    <w:multiLevelType w:val="hybridMultilevel"/>
    <w:tmpl w:val="57EA0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5B"/>
    <w:rsid w:val="000475DC"/>
    <w:rsid w:val="000F3B00"/>
    <w:rsid w:val="0012757A"/>
    <w:rsid w:val="00147EE9"/>
    <w:rsid w:val="00162F18"/>
    <w:rsid w:val="001665FD"/>
    <w:rsid w:val="001A6B77"/>
    <w:rsid w:val="00206C3D"/>
    <w:rsid w:val="003546C9"/>
    <w:rsid w:val="0037373B"/>
    <w:rsid w:val="003B3034"/>
    <w:rsid w:val="003C5C69"/>
    <w:rsid w:val="004073E0"/>
    <w:rsid w:val="004403B9"/>
    <w:rsid w:val="00480652"/>
    <w:rsid w:val="004B0F39"/>
    <w:rsid w:val="00526237"/>
    <w:rsid w:val="0056456B"/>
    <w:rsid w:val="00567A58"/>
    <w:rsid w:val="005A54EA"/>
    <w:rsid w:val="005B68AC"/>
    <w:rsid w:val="005D5292"/>
    <w:rsid w:val="006038AE"/>
    <w:rsid w:val="0062445B"/>
    <w:rsid w:val="006265EF"/>
    <w:rsid w:val="00672256"/>
    <w:rsid w:val="006D2611"/>
    <w:rsid w:val="006D73C1"/>
    <w:rsid w:val="006E04C6"/>
    <w:rsid w:val="006F6831"/>
    <w:rsid w:val="00703E11"/>
    <w:rsid w:val="007078FF"/>
    <w:rsid w:val="00713046"/>
    <w:rsid w:val="0071570C"/>
    <w:rsid w:val="00784C91"/>
    <w:rsid w:val="007A11E9"/>
    <w:rsid w:val="007A1D2E"/>
    <w:rsid w:val="007A44F4"/>
    <w:rsid w:val="007D73BD"/>
    <w:rsid w:val="008258A3"/>
    <w:rsid w:val="0085033F"/>
    <w:rsid w:val="00853480"/>
    <w:rsid w:val="0097551A"/>
    <w:rsid w:val="00A028D4"/>
    <w:rsid w:val="00A40D68"/>
    <w:rsid w:val="00A46235"/>
    <w:rsid w:val="00A72063"/>
    <w:rsid w:val="00AD61EE"/>
    <w:rsid w:val="00AE0230"/>
    <w:rsid w:val="00AE2211"/>
    <w:rsid w:val="00B028BE"/>
    <w:rsid w:val="00B06B9A"/>
    <w:rsid w:val="00B129A1"/>
    <w:rsid w:val="00B50EB5"/>
    <w:rsid w:val="00B51A08"/>
    <w:rsid w:val="00B80E76"/>
    <w:rsid w:val="00B92E93"/>
    <w:rsid w:val="00BE1503"/>
    <w:rsid w:val="00BE619A"/>
    <w:rsid w:val="00C12BCD"/>
    <w:rsid w:val="00C47464"/>
    <w:rsid w:val="00C868B8"/>
    <w:rsid w:val="00D20594"/>
    <w:rsid w:val="00DB6F5B"/>
    <w:rsid w:val="00E30EB8"/>
    <w:rsid w:val="00E516A2"/>
    <w:rsid w:val="00E610E0"/>
    <w:rsid w:val="00E76B67"/>
    <w:rsid w:val="00E9069B"/>
    <w:rsid w:val="00E9257A"/>
    <w:rsid w:val="00F543EF"/>
    <w:rsid w:val="00F616BF"/>
    <w:rsid w:val="00F84AAE"/>
    <w:rsid w:val="00F97449"/>
    <w:rsid w:val="00FA76D3"/>
    <w:rsid w:val="00FC12D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C57B"/>
  <w15:chartTrackingRefBased/>
  <w15:docId w15:val="{BA440B15-4570-45E8-89EF-BB5A2519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C91"/>
  </w:style>
  <w:style w:type="paragraph" w:styleId="Footer">
    <w:name w:val="footer"/>
    <w:basedOn w:val="Normal"/>
    <w:link w:val="FooterChar"/>
    <w:uiPriority w:val="99"/>
    <w:unhideWhenUsed/>
    <w:rsid w:val="0078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91"/>
  </w:style>
  <w:style w:type="paragraph" w:styleId="BalloonText">
    <w:name w:val="Balloon Text"/>
    <w:basedOn w:val="Normal"/>
    <w:link w:val="BalloonTextChar"/>
    <w:uiPriority w:val="99"/>
    <w:semiHidden/>
    <w:unhideWhenUsed/>
    <w:rsid w:val="00F974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4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0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0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Gabie</dc:creator>
  <cp:keywords/>
  <dc:description/>
  <cp:lastModifiedBy>Ninette Quiles</cp:lastModifiedBy>
  <cp:revision>9</cp:revision>
  <dcterms:created xsi:type="dcterms:W3CDTF">2020-04-20T14:01:00Z</dcterms:created>
  <dcterms:modified xsi:type="dcterms:W3CDTF">2020-04-29T14:16:00Z</dcterms:modified>
</cp:coreProperties>
</file>