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83B00" w14:textId="77777777" w:rsidR="007271CA" w:rsidRPr="00493425" w:rsidRDefault="007271CA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FD8EC86" w14:textId="68AB19A6" w:rsidR="00C665D3" w:rsidRPr="0089071B" w:rsidRDefault="00454246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9071B">
        <w:rPr>
          <w:rFonts w:ascii="Times New Roman" w:hAnsi="Times New Roman" w:cs="Times New Roman"/>
          <w:color w:val="000000" w:themeColor="text1"/>
          <w:sz w:val="24"/>
          <w:szCs w:val="24"/>
        </w:rPr>
        <w:t>15 de mayo de 2020</w:t>
      </w:r>
    </w:p>
    <w:p w14:paraId="4F1EF262" w14:textId="010AD253" w:rsidR="00C72E2D" w:rsidRPr="0089071B" w:rsidRDefault="00C72E2D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733720D" w14:textId="77777777" w:rsidR="00EA49DA" w:rsidRPr="0089071B" w:rsidRDefault="00EA49DA" w:rsidP="007A0837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E075A50" w14:textId="02FD13A9" w:rsidR="00EA49DA" w:rsidRPr="0089071B" w:rsidRDefault="00AC2C45" w:rsidP="00B415E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PRIMER (1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vertAlign w:val="superscript"/>
        </w:rPr>
        <w:t>ER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INFORME DE LA SUBVENCIÓN FEDERAL RECIBIDA POR EL DEPR PARA LA ESTABILIZACIÓN EDUCATIVA BAJO </w:t>
      </w:r>
      <w:r w:rsidRPr="0089071B">
        <w:rPr>
          <w:rFonts w:ascii="Times New Roman" w:hAnsi="Times New Roman" w:cs="Times New Roman"/>
          <w:b/>
          <w:bCs/>
          <w:i/>
          <w:color w:val="000000" w:themeColor="text1"/>
          <w:sz w:val="24"/>
          <w:szCs w:val="24"/>
        </w:rPr>
        <w:t>EL CORONAVIRUS AID, RELIEF AND ECONOMIC SECURITY ACT (CARES ACT): HIGHER EDUCATION EMERGENCY RELIEF FUND - EMERGENCY FINANCIAL AID GRANTS TO STUDENTS</w:t>
      </w:r>
      <w:r w:rsidRPr="0089071B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30 DÍAS</w:t>
      </w:r>
    </w:p>
    <w:p w14:paraId="39A2980B" w14:textId="77777777" w:rsidR="00EA49DA" w:rsidRPr="0089071B" w:rsidRDefault="00EA49DA" w:rsidP="00B415E2">
      <w:pPr>
        <w:spacing w:line="24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7E23200" w14:textId="151A8B77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Departamento de Educación de Puerto Rico (DEPR) recibió un</w:t>
      </w:r>
      <w:r w:rsidR="005F06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subvención federal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la </w:t>
      </w:r>
      <w:r w:rsidR="00EA49DA" w:rsidRP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Estabilización Educativa </w:t>
      </w:r>
      <w:r w:rsidR="00EA49D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bajo el</w:t>
      </w:r>
      <w:r w:rsidR="001B5B48" w:rsidRPr="001B5B48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 xml:space="preserve"> Coronavirus Aid, Relief and Economic Security Act (CARES Act): Higher Education Emergency Relief Fund - Emergency Financial Aid Grants to Students</w:t>
      </w:r>
      <w:r w:rsidR="003D162D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el 3 de mayo de 2020 por 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cantidad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$1,657,969.00.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Esta cantidad</w:t>
      </w:r>
      <w:r w:rsid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representa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50% de la subvención total recibida por</w:t>
      </w:r>
      <w:r w:rsidR="003D162D" w:rsidRPr="003D162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DEPR para las instituciones.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Estos fondos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específicos </w:t>
      </w:r>
      <w:r w:rsidR="00AE3B65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otorgaron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exclusivamente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para proporcionar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subvenciones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ayuda financiera de emergencia a los estudiantes para 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gastos relacionados con la interrupción de las operaciones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instituciones de educación superior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debido a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emergencia del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coronavirus (</w:t>
      </w:r>
      <w:r w:rsid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incluyendo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gastos elegibles bajo el costo de asistencia de un estudiante, como alimentos, vivienda, materiales del curso, tecnología, atención médica y cuidado de los niños).</w:t>
      </w:r>
    </w:p>
    <w:p w14:paraId="0BA4EB1E" w14:textId="03265665" w:rsidR="00B415E2" w:rsidRPr="00B415E2" w:rsidRDefault="00AE3B65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16 de abril de 2020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DEPR firmó y </w:t>
      </w:r>
      <w:r w:rsidR="005F067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someti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ó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Departamento de Educación Federal (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USDE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por sus siglas en inglés)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Certificación y 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Acuerdo 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Financiamiento requerido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En este docum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ento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 DEPR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garantiza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AC276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su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intención de utilizar no menos del 50 por ciento de los fondos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recibidos bajo la Sección 18004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(a)(1) de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 Ley CARES para proporcionar subvenciones de ayuda financiera de 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mergencia a los estudiantes.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lo tanto, la totalidad de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estos fondos se</w:t>
      </w:r>
      <w:r w:rsidR="00EC4FA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rán utilizados</w:t>
      </w:r>
      <w:r w:rsidR="00AC276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para 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este propósito. Además,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acuerdo le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requiere al DEPR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cumplir con la Secció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 18004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(e) de la Ley CARES de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presentar un informe inicial (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“30-day Fund Report”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 al Secretario</w:t>
      </w:r>
      <w:r w:rsid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USDE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en 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treinta (30) días a partir de la fecha de la </w:t>
      </w:r>
      <w:r w:rsidR="00F64B00" w:rsidRP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Certificación y Acuerdo de Financiamiento</w:t>
      </w:r>
      <w:r w:rsidR="00B415E2" w:rsidRPr="00F64B0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Este informe se actualizará cada cuare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nta y cinco (45) días, según requerido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también 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la Sección 18004</w:t>
      </w:r>
      <w:r w:rsidRPr="00AE3B65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(e) de la Ley CARES.</w:t>
      </w:r>
    </w:p>
    <w:p w14:paraId="50DC8B74" w14:textId="44ADC75E" w:rsidR="00B415E2" w:rsidRPr="00B415E2" w:rsidRDefault="0019303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Por tal razón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el DEPR ha puesto a disposición la siguiente información para cumplir con los requisitos de los informes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Programa Federal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HEERF.</w:t>
      </w:r>
    </w:p>
    <w:p w14:paraId="37DECBC4" w14:textId="065B70AD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DEPR identificó mil trescientos diecinueve (1,319) estudiantes elegibles para participar en</w:t>
      </w:r>
      <w:r w:rsidR="00EC4FA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rogramas bajo la Sección 484 d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Título IV de la Ley de Educación Superior de 1965 y, por lo tanto, e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legibles para recibir subvenciones de 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yuda 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financiera de e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mergencia para estudiantes bajo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la Sección 18004</w:t>
      </w:r>
      <w:r w:rsidR="0002342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(a)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(1) de la Ley CARES,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siguiendo las especificaciones de elegibilidad que rigen este estatuto.</w:t>
      </w:r>
    </w:p>
    <w:p w14:paraId="793BE3E2" w14:textId="3D351F7F" w:rsid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Las subvenciones a los estudiantes se emitirán en dos rondas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los participantes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elegible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. En la primera ronda, el DEPR emitirá pagos de subvenciones a mil doscientos noventa y tres (1</w:t>
      </w:r>
      <w:r w:rsidR="00EC4FA3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293)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los mil trescientos diecinueve (1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319) estudiantes que fueron identificados como ele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gibles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de acuerdo con las disposiciones de la Sección 18004 de </w:t>
      </w:r>
      <w:r w:rsidR="0034247A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Ley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CARES.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Estos pagos se emitirán a través de transferencias electrónicas tan pronto como se comple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ten todos los procedimientos relacionados a la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contabilidad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 esta subvención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en el Sistema Financiero del DEPR y se reciban todos los documentos requeridos de las cuentas bancarias de los estudiantes. Según el Departamento del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Hacienda de Puerto Rico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(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reglamentación local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), para inscribir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alguien que sea elegible 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recibir t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ransferencias electrónicas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deben presentarse y registrarse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ciertos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formularios y documentos 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como parte del proceso. Para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aquellos estudiantes que no estaban inscritos en depósito directo, debemos completar los procedimientos para emitir la transferencia de los fondos.</w:t>
      </w:r>
    </w:p>
    <w:p w14:paraId="39E73BF1" w14:textId="6A8D7D4A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La segunda ronda de subvenciones a los estudiantes se emitirá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una vez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 veintiséis (26) casos de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los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estudiantes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92F8D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restantes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sean resueltos</w:t>
      </w:r>
      <w:r w:rsid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basado en la identificación de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situaciones</w:t>
      </w:r>
      <w:r w:rsidR="00F8465B" w:rsidRPr="00F8465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particulares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. El DEPR </w:t>
      </w:r>
      <w:r w:rsidR="00DD7FC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ha contactado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estos estudiantes para resolver sus situaciones individuales y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puedan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recibir esta subvención. Los fondos correspondientes se reservaron para estos casos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y los </w:t>
      </w:r>
      <w:r w:rsidR="001B5B48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esfuerzos del DEPR se dirigen a resolver estos asuntos lo antes posible.</w:t>
      </w:r>
    </w:p>
    <w:p w14:paraId="68DC5B50" w14:textId="5F4DFD31" w:rsidR="00B415E2" w:rsidRPr="00B415E2" w:rsidRDefault="001B5B48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Bajo la asistencia que se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proveerá</w:t>
      </w:r>
      <w:r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ada estudiante recibirá $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1,200 dólares. Los criterios utilizados para procesar los pagos de los estudiantes elegibles fueron los siguientes:</w:t>
      </w:r>
    </w:p>
    <w:p w14:paraId="68A80A2A" w14:textId="1A0D4E73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1. Lo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estudiantes son elegibles a recibir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la Beca Pell, independientemente de si están u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tilizando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beca.</w:t>
      </w:r>
    </w:p>
    <w:p w14:paraId="119AE200" w14:textId="7F60E1A8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2. Los pagos de la subvención se distribuirán a los estudiantes afectados por la emergencia del coronavirus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COVID 19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y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que no est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uvieron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matriculados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a tiempo completo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 cursos de educación a distancia antes de la emergencia.</w:t>
      </w:r>
    </w:p>
    <w:p w14:paraId="7DDCCD53" w14:textId="636997E1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3. Los estudiantes deben estar activos en cualquiera de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las instituciones postsecundarias adscrita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al DEPR y cumplir con lo siguiente:</w:t>
      </w:r>
    </w:p>
    <w:p w14:paraId="1ABDD341" w14:textId="02F6CE89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Los estudiantes están inscritos en una de las instituciones del DEPR que tienen acreditación federal de acuerdo con el Acuerdo de Participación de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 Programa. 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Actualmente, sólo cinco (5) instituciones postsecundarias adscrita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s al DEPR cuentan con la acreditación federal: cuatro 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recintos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del Instituto Tecnológico de Puerto Rico (</w:t>
      </w:r>
      <w:r w:rsid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recinto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Guayama, Manatí, Ponce y San Juan) y la Escuela de Troquelería y Herramentaje.</w:t>
      </w:r>
    </w:p>
    <w:p w14:paraId="7F5E1FE1" w14:textId="50742802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Un estudiante activo se define como cualquier persona que en el momento en que se declaró la emergencia tenía una 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matrícula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activa.</w:t>
      </w:r>
    </w:p>
    <w:p w14:paraId="58F9EE94" w14:textId="12351AED" w:rsidR="00B415E2" w:rsidRPr="00D92F8D" w:rsidRDefault="001B5B48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 estudiante</w:t>
      </w:r>
      <w:r w:rsidR="00B415E2"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ha cumplido con la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alternativa</w:t>
      </w:r>
      <w:r w:rsidR="00B415E2"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de educación a distancia establecida por el DEPR y con la política pública relacionada con la asistencia.</w:t>
      </w:r>
    </w:p>
    <w:p w14:paraId="074276B7" w14:textId="51A3BB12" w:rsidR="00B415E2" w:rsidRPr="00D92F8D" w:rsidRDefault="00B415E2" w:rsidP="00D92F8D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El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estudiante no es candidato 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un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a baja administrativa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total.</w:t>
      </w:r>
    </w:p>
    <w:p w14:paraId="1BD100E2" w14:textId="4FF93455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4. </w:t>
      </w:r>
      <w:r w:rsidR="001B5B48" w:rsidRP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Otros criterios de elegibilidad que se consideraron para excluir a los estudian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tes de recibir la subvención fueron</w:t>
      </w:r>
      <w:r w:rsidR="0019303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:</w:t>
      </w:r>
    </w:p>
    <w:p w14:paraId="3C1B8CA2" w14:textId="228DB2A4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lastRenderedPageBreak/>
        <w:t>Estudiantes que ti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enen alguna deuda con el USDE relacionada con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</w:t>
      </w:r>
      <w:r w:rsidR="00197F1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Beca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Pell, préstamos estudiantiles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no pagados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pago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 en exceso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, entre otros (</w:t>
      </w:r>
      <w:r w:rsidR="00193032" w:rsidRPr="0019303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Default Codes</w:t>
      </w:r>
      <w:r w:rsidRPr="00193032">
        <w:rPr>
          <w:rFonts w:ascii="Times New Roman" w:hAnsi="Times New Roman" w:cs="Times New Roman"/>
          <w:i/>
          <w:color w:val="000000" w:themeColor="text1"/>
          <w:sz w:val="24"/>
          <w:szCs w:val="24"/>
          <w:lang w:val="es-ES"/>
        </w:rPr>
        <w:t>: 2 - 8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).</w:t>
      </w:r>
    </w:p>
    <w:p w14:paraId="07EEF4FA" w14:textId="3741D7CB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Estudiantes no registrados en el servicio militar selectivo.</w:t>
      </w:r>
    </w:p>
    <w:p w14:paraId="7538D14A" w14:textId="1F71E8EB" w:rsidR="00B415E2" w:rsidRPr="00D92F8D" w:rsidRDefault="00B415E2" w:rsidP="00D92F8D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Estudiantes que no han respondido a 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los códigos </w:t>
      </w:r>
      <w:r w:rsidRPr="00D92F8D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V4 y V5 de la auditoría de verificación.</w:t>
      </w:r>
    </w:p>
    <w:p w14:paraId="71712E52" w14:textId="1683D743" w:rsidR="00B415E2" w:rsidRPr="00B415E2" w:rsidRDefault="00B415E2" w:rsidP="00B415E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5. Ciento diez (110) 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estudiantes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fueron exclui</w:t>
      </w:r>
      <w:r w:rsidR="00364EC9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dos ya que no eran elegibles a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recibir </w:t>
      </w:r>
      <w:r w:rsidR="00197F1C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Beca </w:t>
      </w:r>
      <w:r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Pell.</w:t>
      </w:r>
    </w:p>
    <w:p w14:paraId="60CF4FCE" w14:textId="77777777" w:rsidR="00364EC9" w:rsidRDefault="00364EC9" w:rsidP="003F45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</w:p>
    <w:p w14:paraId="005B75C7" w14:textId="1E79971A" w:rsidR="00364EC9" w:rsidRPr="00493425" w:rsidRDefault="00364EC9" w:rsidP="001B5B48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</w:t>
      </w:r>
      <w:r w:rsidR="003F45A0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tener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alguna pregunta o inquietud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 sobre esta información</w:t>
      </w:r>
      <w:r w:rsidR="00B415E2" w:rsidRPr="00B415E2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pue</w:t>
      </w:r>
      <w:r w:rsidR="001B5B48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de enviarla al siguiente email </w:t>
      </w:r>
      <w:hyperlink r:id="rId8" w:history="1">
        <w:r w:rsidR="007318D7" w:rsidRPr="00F27ECA">
          <w:rPr>
            <w:rStyle w:val="Hyperlink"/>
            <w:rFonts w:ascii="Times New Roman" w:hAnsi="Times New Roman" w:cs="Times New Roman"/>
            <w:sz w:val="24"/>
            <w:szCs w:val="24"/>
            <w:lang w:val="es-ES"/>
          </w:rPr>
          <w:t>incentivocares@itec.pr</w:t>
        </w:r>
      </w:hyperlink>
      <w:r w:rsidR="0067632E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, las cuales </w:t>
      </w:r>
      <w:r w:rsidR="00DA589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>se trabajar</w:t>
      </w:r>
      <w:bookmarkStart w:id="0" w:name="_GoBack"/>
      <w:bookmarkEnd w:id="0"/>
      <w:r w:rsidR="00DA589B">
        <w:rPr>
          <w:rFonts w:ascii="Times New Roman" w:hAnsi="Times New Roman" w:cs="Times New Roman"/>
          <w:color w:val="000000" w:themeColor="text1"/>
          <w:sz w:val="24"/>
          <w:szCs w:val="24"/>
          <w:lang w:val="es-ES"/>
        </w:rPr>
        <w:t xml:space="preserve">án a la brevedad posible. </w:t>
      </w:r>
    </w:p>
    <w:sectPr w:rsidR="00364EC9" w:rsidRPr="00493425" w:rsidSect="007126F5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E92EF" w14:textId="77777777" w:rsidR="002F2F91" w:rsidRDefault="002F2F91" w:rsidP="00700475">
      <w:pPr>
        <w:spacing w:after="0" w:line="240" w:lineRule="auto"/>
      </w:pPr>
      <w:r>
        <w:separator/>
      </w:r>
    </w:p>
  </w:endnote>
  <w:endnote w:type="continuationSeparator" w:id="0">
    <w:p w14:paraId="5AF7A40C" w14:textId="77777777" w:rsidR="002F2F91" w:rsidRDefault="002F2F91" w:rsidP="0070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8ABC0" w14:textId="77777777" w:rsidR="008601A8" w:rsidRPr="00942F28" w:rsidRDefault="008601A8" w:rsidP="008601A8">
    <w:pPr>
      <w:tabs>
        <w:tab w:val="left" w:pos="720"/>
        <w:tab w:val="center" w:pos="4680"/>
        <w:tab w:val="right" w:pos="9360"/>
      </w:tabs>
      <w:ind w:left="-360"/>
      <w:jc w:val="center"/>
      <w:rPr>
        <w:rFonts w:eastAsia="Calibri"/>
        <w:spacing w:val="20"/>
        <w:sz w:val="18"/>
        <w:szCs w:val="18"/>
      </w:rPr>
    </w:pPr>
  </w:p>
  <w:p w14:paraId="35263675" w14:textId="77777777" w:rsidR="00C97FCA" w:rsidRDefault="00C97F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CC2D9" w14:textId="77777777" w:rsidR="0089071B" w:rsidRPr="007B5379" w:rsidRDefault="0089071B" w:rsidP="0089071B">
    <w:pPr>
      <w:pStyle w:val="Footer"/>
      <w:rPr>
        <w:color w:val="808080"/>
        <w:spacing w:val="20"/>
        <w:lang w:val="es-PR"/>
      </w:rPr>
    </w:pPr>
    <w:r>
      <w:rPr>
        <w:noProof/>
      </w:rPr>
      <w:drawing>
        <wp:anchor distT="0" distB="0" distL="114300" distR="114300" simplePos="0" relativeHeight="251671552" behindDoc="0" locked="0" layoutInCell="1" allowOverlap="1" wp14:anchorId="223BF964" wp14:editId="00661820">
          <wp:simplePos x="0" y="0"/>
          <wp:positionH relativeFrom="margin">
            <wp:posOffset>5157616</wp:posOffset>
          </wp:positionH>
          <wp:positionV relativeFrom="paragraph">
            <wp:posOffset>8987</wp:posOffset>
          </wp:positionV>
          <wp:extent cx="889330" cy="239151"/>
          <wp:effectExtent l="0" t="0" r="635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73" t="23914" r="9677" b="22826"/>
                  <a:stretch>
                    <a:fillRect/>
                  </a:stretch>
                </pic:blipFill>
                <pic:spPr bwMode="auto">
                  <a:xfrm>
                    <a:off x="0" y="0"/>
                    <a:ext cx="889330" cy="23915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379">
      <w:rPr>
        <w:noProof/>
        <w:color w:val="808080"/>
        <w:spacing w:val="20"/>
        <w:lang w:val="es-PR" w:eastAsia="es-PR"/>
      </w:rPr>
      <w:t xml:space="preserve">                                                                                        </w:t>
    </w:r>
  </w:p>
  <w:p w14:paraId="451BD4ED" w14:textId="4E325E8D" w:rsidR="0089071B" w:rsidRPr="007B5379" w:rsidRDefault="0089071B" w:rsidP="0089071B">
    <w:pPr>
      <w:pStyle w:val="Footer"/>
      <w:rPr>
        <w:color w:val="808080"/>
        <w:spacing w:val="20"/>
        <w:lang w:val="es-PR"/>
      </w:rPr>
    </w:pPr>
    <w:r w:rsidRPr="007B5379">
      <w:rPr>
        <w:rFonts w:ascii="Calibri" w:hAnsi="Calibri"/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05356AD" wp14:editId="1830CAFF">
              <wp:simplePos x="0" y="0"/>
              <wp:positionH relativeFrom="margin">
                <wp:posOffset>-266700</wp:posOffset>
              </wp:positionH>
              <wp:positionV relativeFrom="paragraph">
                <wp:posOffset>125730</wp:posOffset>
              </wp:positionV>
              <wp:extent cx="6419850" cy="19050"/>
              <wp:effectExtent l="0" t="0" r="1905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19850" cy="1905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38A99BC" id="Straight Connector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pt,9.9pt" to="484.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" strokecolor="gray [1629]" strokeweight=".5pt">
              <v:stroke joinstyle="miter"/>
              <w10:wrap anchorx="margin"/>
            </v:line>
          </w:pict>
        </mc:Fallback>
      </mc:AlternateContent>
    </w:r>
    <w:r w:rsidRPr="007B5379">
      <w:rPr>
        <w:color w:val="808080"/>
        <w:spacing w:val="20"/>
        <w:lang w:val="es-PR"/>
      </w:rPr>
      <w:t xml:space="preserve">P.O. Box 190759, San Juan, PR  00919-0759 </w:t>
    </w:r>
    <w:r w:rsidRPr="007B5379">
      <w:rPr>
        <w:color w:val="8064A2"/>
        <w:spacing w:val="20"/>
        <w:lang w:val="es-PR"/>
      </w:rPr>
      <w:t xml:space="preserve">• </w:t>
    </w:r>
    <w:r w:rsidRPr="007B5379">
      <w:rPr>
        <w:color w:val="948A54"/>
        <w:spacing w:val="20"/>
        <w:lang w:val="es-PR"/>
      </w:rPr>
      <w:t>Tel.: (787)773-</w:t>
    </w:r>
    <w:r>
      <w:rPr>
        <w:color w:val="948A54"/>
        <w:spacing w:val="20"/>
        <w:lang w:val="es-PR"/>
      </w:rPr>
      <w:t>6688</w:t>
    </w:r>
    <w:r w:rsidRPr="007B5379">
      <w:rPr>
        <w:color w:val="948A54"/>
        <w:spacing w:val="20"/>
        <w:lang w:val="es-PR"/>
      </w:rPr>
      <w:t xml:space="preserve">    </w:t>
    </w:r>
  </w:p>
  <w:p w14:paraId="2ED0D460" w14:textId="74713E8A" w:rsidR="00EB5C59" w:rsidRPr="0089071B" w:rsidRDefault="0089071B" w:rsidP="0089071B">
    <w:pPr>
      <w:pStyle w:val="Footer"/>
      <w:tabs>
        <w:tab w:val="left" w:pos="720"/>
      </w:tabs>
      <w:ind w:left="-360"/>
      <w:jc w:val="center"/>
      <w:rPr>
        <w:spacing w:val="20"/>
        <w:lang w:val="es-PR"/>
      </w:rPr>
    </w:pPr>
    <w:r w:rsidRPr="007B5379">
      <w:rPr>
        <w:color w:val="808080"/>
        <w:spacing w:val="20"/>
        <w:sz w:val="16"/>
        <w:szCs w:val="16"/>
        <w:lang w:val="es-PR"/>
      </w:rPr>
      <w:t>El Departamento de Educación no discrimina de ninguna manera por razón de edad, raza, color, sexo, nacimiento, condición de veterano, ideología política o religiosa, origen o condición social, orientación sexual o identidad de género, discapacidad o impedimento físico o mental; ni por ser víctima de violencia doméstica, agresión sexual o acecho.</w:t>
    </w:r>
  </w:p>
  <w:p w14:paraId="05E626BC" w14:textId="77777777" w:rsidR="00EB5C59" w:rsidRPr="0089071B" w:rsidRDefault="00EB5C59">
    <w:pPr>
      <w:pStyle w:val="Footer"/>
      <w:rPr>
        <w:lang w:val="es-P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C8C2D1" w14:textId="77777777" w:rsidR="002F2F91" w:rsidRDefault="002F2F91" w:rsidP="00700475">
      <w:pPr>
        <w:spacing w:after="0" w:line="240" w:lineRule="auto"/>
      </w:pPr>
      <w:r>
        <w:separator/>
      </w:r>
    </w:p>
  </w:footnote>
  <w:footnote w:type="continuationSeparator" w:id="0">
    <w:p w14:paraId="4AB7F852" w14:textId="77777777" w:rsidR="002F2F91" w:rsidRDefault="002F2F91" w:rsidP="0070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F577A" w14:textId="77923C63" w:rsidR="00FB221B" w:rsidRDefault="00FB221B" w:rsidP="004B5C6E">
    <w:pPr>
      <w:pStyle w:val="Header"/>
      <w:framePr w:wrap="none" w:vAnchor="text" w:hAnchor="margin" w:xAlign="right" w:y="1"/>
      <w:rPr>
        <w:rStyle w:val="PageNumber"/>
      </w:rPr>
    </w:pPr>
  </w:p>
  <w:sdt>
    <w:sdtPr>
      <w:rPr>
        <w:rStyle w:val="PageNumber"/>
      </w:rPr>
      <w:id w:val="1795491754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46B76883" w14:textId="77777777" w:rsidR="00FB221B" w:rsidRDefault="00FB221B" w:rsidP="004B5C6E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BC834D3" w14:textId="77777777" w:rsidR="00FB221B" w:rsidRDefault="00FB221B" w:rsidP="00FB221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1DB10" w14:textId="77777777" w:rsidR="005C5198" w:rsidRPr="005C5198" w:rsidRDefault="005C5198" w:rsidP="00236053">
    <w:pPr>
      <w:pStyle w:val="Header"/>
      <w:jc w:val="both"/>
      <w:rPr>
        <w:rFonts w:ascii="Times New Roman" w:hAnsi="Times New Roman" w:cs="Times New Roman"/>
        <w:b/>
        <w:bCs/>
        <w:color w:val="000000" w:themeColor="text1"/>
        <w:sz w:val="18"/>
        <w:szCs w:val="24"/>
        <w:lang w:val="es-PR"/>
      </w:rPr>
    </w:pPr>
    <w:r w:rsidRPr="005C5198">
      <w:rPr>
        <w:rFonts w:ascii="Times New Roman" w:hAnsi="Times New Roman" w:cs="Times New Roman"/>
        <w:b/>
        <w:bCs/>
        <w:color w:val="000000" w:themeColor="text1"/>
        <w:sz w:val="18"/>
        <w:szCs w:val="24"/>
        <w:lang w:val="es-PR"/>
      </w:rPr>
      <w:t>PRIMER (1ER) INFORME DE LA SUBVENCIÓN FEDERAL RECIBIDA POR EL DEPR PARA LA ESTABILIZACIÓN EDUCATIVA BAJO EL CORONAVIRUS AID, RELIEF AND ECONOMIC SECURITY ACT (CARES ACT): HIGHER EDUCATION EMERGENCY RELIEF FUND - EMERGENCY FINANCIAL AID GRANTS TO STUDENTS – 30 DÍAS</w:t>
    </w:r>
  </w:p>
  <w:p w14:paraId="636B6845" w14:textId="7F28014D" w:rsidR="00AD6672" w:rsidRPr="00193032" w:rsidRDefault="002F2F91" w:rsidP="00236053">
    <w:pPr>
      <w:pStyle w:val="Header"/>
      <w:jc w:val="both"/>
      <w:rPr>
        <w:rFonts w:ascii="Times New Roman" w:hAnsi="Times New Roman" w:cs="Times New Roman"/>
        <w:szCs w:val="24"/>
        <w:lang w:val="es-PR"/>
      </w:rPr>
    </w:pPr>
    <w:sdt>
      <w:sdtPr>
        <w:rPr>
          <w:rFonts w:ascii="Times New Roman" w:hAnsi="Times New Roman" w:cs="Times New Roman"/>
          <w:szCs w:val="24"/>
        </w:rPr>
        <w:id w:val="2058588689"/>
        <w:docPartObj>
          <w:docPartGallery w:val="Page Numbers (Top of Page)"/>
          <w:docPartUnique/>
        </w:docPartObj>
      </w:sdtPr>
      <w:sdtEndPr>
        <w:rPr>
          <w:b/>
          <w:bCs/>
          <w:noProof/>
        </w:rPr>
      </w:sdtEndPr>
      <w:sdtContent>
        <w:r w:rsidR="00193032">
          <w:rPr>
            <w:rFonts w:ascii="Times New Roman" w:hAnsi="Times New Roman" w:cs="Times New Roman"/>
            <w:b/>
            <w:bCs/>
            <w:szCs w:val="24"/>
            <w:lang w:val="es-PR"/>
          </w:rPr>
          <w:t>Página</w:t>
        </w:r>
        <w:r w:rsidR="00AD6672" w:rsidRPr="00193032">
          <w:rPr>
            <w:rFonts w:ascii="Times New Roman" w:hAnsi="Times New Roman" w:cs="Times New Roman"/>
            <w:b/>
            <w:bCs/>
            <w:szCs w:val="24"/>
            <w:lang w:val="es-PR"/>
          </w:rPr>
          <w:t xml:space="preserve"> </w:t>
        </w:r>
        <w:r w:rsidR="00AD6672" w:rsidRPr="00236053">
          <w:rPr>
            <w:rFonts w:ascii="Times New Roman" w:hAnsi="Times New Roman" w:cs="Times New Roman"/>
            <w:b/>
            <w:bCs/>
            <w:szCs w:val="24"/>
          </w:rPr>
          <w:fldChar w:fldCharType="begin"/>
        </w:r>
        <w:r w:rsidR="00AD6672" w:rsidRPr="00193032">
          <w:rPr>
            <w:rFonts w:ascii="Times New Roman" w:hAnsi="Times New Roman" w:cs="Times New Roman"/>
            <w:b/>
            <w:bCs/>
            <w:szCs w:val="24"/>
            <w:lang w:val="es-PR"/>
          </w:rPr>
          <w:instrText xml:space="preserve"> PAGE   \* MERGEFORMAT </w:instrText>
        </w:r>
        <w:r w:rsidR="00AD6672" w:rsidRPr="00236053">
          <w:rPr>
            <w:rFonts w:ascii="Times New Roman" w:hAnsi="Times New Roman" w:cs="Times New Roman"/>
            <w:b/>
            <w:bCs/>
            <w:szCs w:val="24"/>
          </w:rPr>
          <w:fldChar w:fldCharType="separate"/>
        </w:r>
        <w:r w:rsidR="0067632E">
          <w:rPr>
            <w:rFonts w:ascii="Times New Roman" w:hAnsi="Times New Roman" w:cs="Times New Roman"/>
            <w:b/>
            <w:bCs/>
            <w:noProof/>
            <w:szCs w:val="24"/>
            <w:lang w:val="es-PR"/>
          </w:rPr>
          <w:t>2</w:t>
        </w:r>
        <w:r w:rsidR="00AD6672" w:rsidRPr="00236053">
          <w:rPr>
            <w:rFonts w:ascii="Times New Roman" w:hAnsi="Times New Roman" w:cs="Times New Roman"/>
            <w:b/>
            <w:bCs/>
            <w:noProof/>
            <w:szCs w:val="24"/>
          </w:rPr>
          <w:fldChar w:fldCharType="end"/>
        </w:r>
      </w:sdtContent>
    </w:sdt>
  </w:p>
  <w:p w14:paraId="08717DF8" w14:textId="0A7FC9BF" w:rsidR="001F4225" w:rsidRPr="00193032" w:rsidRDefault="001F4225" w:rsidP="00FB221B">
    <w:pPr>
      <w:pStyle w:val="Header"/>
      <w:ind w:right="360"/>
      <w:rPr>
        <w:lang w:val="es-P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4C875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ind w:left="1710"/>
      <w:rPr>
        <w:rFonts w:ascii="Times New Roman" w:eastAsia="MS Mincho" w:hAnsi="Times New Roman" w:cs="Times New Roman"/>
        <w:spacing w:val="20"/>
        <w:sz w:val="28"/>
        <w:szCs w:val="24"/>
        <w:lang w:val="es-ES_tradnl"/>
      </w:rPr>
    </w:pPr>
    <w:r w:rsidRPr="0089071B">
      <w:rPr>
        <w:rFonts w:ascii="Times New Roman" w:eastAsia="MS Mincho" w:hAnsi="Times New Roman" w:cs="Times New Roman"/>
        <w:noProof/>
        <w:sz w:val="24"/>
        <w:szCs w:val="24"/>
      </w:rPr>
      <w:drawing>
        <wp:anchor distT="0" distB="0" distL="114300" distR="114300" simplePos="0" relativeHeight="251667456" behindDoc="1" locked="0" layoutInCell="1" allowOverlap="1" wp14:anchorId="5FB5913E" wp14:editId="5391E930">
          <wp:simplePos x="0" y="0"/>
          <wp:positionH relativeFrom="column">
            <wp:posOffset>-309880</wp:posOffset>
          </wp:positionH>
          <wp:positionV relativeFrom="paragraph">
            <wp:posOffset>-147955</wp:posOffset>
          </wp:positionV>
          <wp:extent cx="1080135" cy="1080135"/>
          <wp:effectExtent l="0" t="0" r="0" b="571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LLO GOBIERNO DE PUERTO RICO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135" cy="10801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4AF835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Times New Roman" w:eastAsia="MS Mincho" w:hAnsi="Times New Roman" w:cs="Times New Roman"/>
        <w:color w:val="808080"/>
        <w:sz w:val="24"/>
        <w:szCs w:val="24"/>
        <w:lang w:val="es-PR"/>
      </w:rPr>
    </w:pPr>
    <w:r w:rsidRPr="0089071B">
      <w:rPr>
        <w:rFonts w:ascii="Times New Roman" w:eastAsia="MS Mincho" w:hAnsi="Times New Roman" w:cs="Times New Roman"/>
        <w:color w:val="808080"/>
        <w:spacing w:val="20"/>
        <w:sz w:val="28"/>
        <w:szCs w:val="24"/>
        <w:lang w:val="es-PR"/>
      </w:rPr>
      <w:t xml:space="preserve">              GOBIERNO DE PUERTO RICO</w:t>
    </w:r>
  </w:p>
  <w:p w14:paraId="1D2102F1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ind w:left="1800" w:hanging="90"/>
      <w:rPr>
        <w:rFonts w:ascii="Times New Roman" w:eastAsia="MS Mincho" w:hAnsi="Times New Roman" w:cs="Times New Roman"/>
        <w:color w:val="808080"/>
        <w:spacing w:val="20"/>
        <w:sz w:val="21"/>
        <w:szCs w:val="24"/>
        <w:lang w:val="es-PR"/>
      </w:rPr>
    </w:pPr>
    <w:r w:rsidRPr="0089071B">
      <w:rPr>
        <w:rFonts w:ascii="Times New Roman" w:eastAsia="MS Mincho" w:hAnsi="Times New Roman" w:cs="Times New Roman"/>
        <w:noProof/>
        <w:color w:val="808080"/>
        <w:spacing w:val="20"/>
        <w:sz w:val="28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FABC555" wp14:editId="1BBE2120">
              <wp:simplePos x="0" y="0"/>
              <wp:positionH relativeFrom="column">
                <wp:posOffset>784860</wp:posOffset>
              </wp:positionH>
              <wp:positionV relativeFrom="paragraph">
                <wp:posOffset>50800</wp:posOffset>
              </wp:positionV>
              <wp:extent cx="4914900" cy="0"/>
              <wp:effectExtent l="0" t="0" r="12700" b="2540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49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AEDED01"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4pt" to="448.8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" strokecolor="#7f7f7f"/>
          </w:pict>
        </mc:Fallback>
      </mc:AlternateContent>
    </w:r>
    <w:r w:rsidRPr="0089071B">
      <w:rPr>
        <w:rFonts w:ascii="Times New Roman" w:eastAsia="MS Mincho" w:hAnsi="Times New Roman" w:cs="Times New Roman"/>
        <w:color w:val="808080"/>
        <w:spacing w:val="20"/>
        <w:sz w:val="28"/>
        <w:szCs w:val="24"/>
        <w:lang w:val="es-PR"/>
      </w:rPr>
      <w:t xml:space="preserve"> </w:t>
    </w:r>
    <w:r w:rsidRPr="0089071B">
      <w:rPr>
        <w:rFonts w:ascii="Times New Roman" w:eastAsia="MS Mincho" w:hAnsi="Times New Roman" w:cs="Times New Roman"/>
        <w:color w:val="808080"/>
        <w:spacing w:val="20"/>
        <w:szCs w:val="24"/>
        <w:lang w:val="es-PR"/>
      </w:rPr>
      <w:t xml:space="preserve"> </w:t>
    </w:r>
  </w:p>
  <w:p w14:paraId="167A8A6E" w14:textId="77777777" w:rsidR="0089071B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</w:pPr>
    <w:r w:rsidRPr="0089071B"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 xml:space="preserve">                 DEPARTAMENTO DE EDUCACIÓN</w:t>
    </w:r>
  </w:p>
  <w:p w14:paraId="06EE01DB" w14:textId="739D53BB" w:rsidR="002A4F03" w:rsidRPr="0089071B" w:rsidRDefault="0089071B" w:rsidP="0089071B">
    <w:pPr>
      <w:tabs>
        <w:tab w:val="center" w:pos="4680"/>
        <w:tab w:val="right" w:pos="9360"/>
      </w:tabs>
      <w:spacing w:after="0" w:line="240" w:lineRule="auto"/>
      <w:rPr>
        <w:rFonts w:ascii="Arial" w:eastAsia="MS Mincho" w:hAnsi="Arial" w:cs="Arial"/>
        <w:color w:val="808080"/>
        <w:spacing w:val="20"/>
        <w:sz w:val="24"/>
        <w:szCs w:val="24"/>
        <w:lang w:val="es-PR"/>
      </w:rPr>
    </w:pPr>
    <w:r w:rsidRPr="0089071B"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 xml:space="preserve">                 </w:t>
    </w:r>
    <w:r>
      <w:rPr>
        <w:rFonts w:ascii="Calibri" w:eastAsia="MS Mincho" w:hAnsi="Calibri" w:cs="Times New Roman"/>
        <w:color w:val="808080"/>
        <w:spacing w:val="20"/>
        <w:sz w:val="24"/>
        <w:szCs w:val="24"/>
        <w:lang w:val="es-PR"/>
      </w:rPr>
      <w:t>Programa de Educación Técnica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9701F"/>
    <w:multiLevelType w:val="hybridMultilevel"/>
    <w:tmpl w:val="2D022E7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B343E"/>
    <w:multiLevelType w:val="hybridMultilevel"/>
    <w:tmpl w:val="77208C30"/>
    <w:lvl w:ilvl="0" w:tplc="0C000019">
      <w:start w:val="1"/>
      <w:numFmt w:val="lowerLetter"/>
      <w:lvlText w:val="%1."/>
      <w:lvlJc w:val="left"/>
      <w:pPr>
        <w:ind w:left="900" w:hanging="360"/>
      </w:pPr>
    </w:lvl>
    <w:lvl w:ilvl="1" w:tplc="10000019" w:tentative="1">
      <w:start w:val="1"/>
      <w:numFmt w:val="lowerLetter"/>
      <w:lvlText w:val="%2."/>
      <w:lvlJc w:val="left"/>
      <w:pPr>
        <w:ind w:left="1620" w:hanging="360"/>
      </w:pPr>
    </w:lvl>
    <w:lvl w:ilvl="2" w:tplc="1000001B" w:tentative="1">
      <w:start w:val="1"/>
      <w:numFmt w:val="lowerRoman"/>
      <w:lvlText w:val="%3."/>
      <w:lvlJc w:val="right"/>
      <w:pPr>
        <w:ind w:left="2340" w:hanging="180"/>
      </w:pPr>
    </w:lvl>
    <w:lvl w:ilvl="3" w:tplc="1000000F" w:tentative="1">
      <w:start w:val="1"/>
      <w:numFmt w:val="decimal"/>
      <w:lvlText w:val="%4."/>
      <w:lvlJc w:val="left"/>
      <w:pPr>
        <w:ind w:left="3060" w:hanging="360"/>
      </w:pPr>
    </w:lvl>
    <w:lvl w:ilvl="4" w:tplc="10000019" w:tentative="1">
      <w:start w:val="1"/>
      <w:numFmt w:val="lowerLetter"/>
      <w:lvlText w:val="%5."/>
      <w:lvlJc w:val="left"/>
      <w:pPr>
        <w:ind w:left="3780" w:hanging="360"/>
      </w:pPr>
    </w:lvl>
    <w:lvl w:ilvl="5" w:tplc="1000001B" w:tentative="1">
      <w:start w:val="1"/>
      <w:numFmt w:val="lowerRoman"/>
      <w:lvlText w:val="%6."/>
      <w:lvlJc w:val="right"/>
      <w:pPr>
        <w:ind w:left="4500" w:hanging="180"/>
      </w:pPr>
    </w:lvl>
    <w:lvl w:ilvl="6" w:tplc="1000000F" w:tentative="1">
      <w:start w:val="1"/>
      <w:numFmt w:val="decimal"/>
      <w:lvlText w:val="%7."/>
      <w:lvlJc w:val="left"/>
      <w:pPr>
        <w:ind w:left="5220" w:hanging="360"/>
      </w:pPr>
    </w:lvl>
    <w:lvl w:ilvl="7" w:tplc="10000019" w:tentative="1">
      <w:start w:val="1"/>
      <w:numFmt w:val="lowerLetter"/>
      <w:lvlText w:val="%8."/>
      <w:lvlJc w:val="left"/>
      <w:pPr>
        <w:ind w:left="5940" w:hanging="360"/>
      </w:pPr>
    </w:lvl>
    <w:lvl w:ilvl="8" w:tplc="1000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BB4D6A"/>
    <w:multiLevelType w:val="hybridMultilevel"/>
    <w:tmpl w:val="5CD4C974"/>
    <w:lvl w:ilvl="0" w:tplc="0C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14D95"/>
    <w:multiLevelType w:val="hybridMultilevel"/>
    <w:tmpl w:val="1696F526"/>
    <w:lvl w:ilvl="0" w:tplc="0C000019">
      <w:start w:val="1"/>
      <w:numFmt w:val="lowerLetter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22EFB"/>
    <w:multiLevelType w:val="hybridMultilevel"/>
    <w:tmpl w:val="1DA83F6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B2DFF"/>
    <w:multiLevelType w:val="hybridMultilevel"/>
    <w:tmpl w:val="9056BA8C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6A0D6C"/>
    <w:multiLevelType w:val="hybridMultilevel"/>
    <w:tmpl w:val="BFBE9240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91C95"/>
    <w:multiLevelType w:val="hybridMultilevel"/>
    <w:tmpl w:val="14648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80C21"/>
    <w:multiLevelType w:val="hybridMultilevel"/>
    <w:tmpl w:val="52FC14DC"/>
    <w:lvl w:ilvl="0" w:tplc="0C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F18D9"/>
    <w:multiLevelType w:val="hybridMultilevel"/>
    <w:tmpl w:val="F120DB74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5114EC"/>
    <w:multiLevelType w:val="hybridMultilevel"/>
    <w:tmpl w:val="7A92BA76"/>
    <w:lvl w:ilvl="0" w:tplc="2F620E92">
      <w:start w:val="1"/>
      <w:numFmt w:val="lowerLetter"/>
      <w:lvlText w:val="%1."/>
      <w:lvlJc w:val="left"/>
      <w:pPr>
        <w:ind w:left="590" w:hanging="41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260" w:hanging="360"/>
      </w:pPr>
    </w:lvl>
    <w:lvl w:ilvl="2" w:tplc="1000001B" w:tentative="1">
      <w:start w:val="1"/>
      <w:numFmt w:val="lowerRoman"/>
      <w:lvlText w:val="%3."/>
      <w:lvlJc w:val="right"/>
      <w:pPr>
        <w:ind w:left="1980" w:hanging="180"/>
      </w:pPr>
    </w:lvl>
    <w:lvl w:ilvl="3" w:tplc="1000000F" w:tentative="1">
      <w:start w:val="1"/>
      <w:numFmt w:val="decimal"/>
      <w:lvlText w:val="%4."/>
      <w:lvlJc w:val="left"/>
      <w:pPr>
        <w:ind w:left="2700" w:hanging="360"/>
      </w:pPr>
    </w:lvl>
    <w:lvl w:ilvl="4" w:tplc="10000019" w:tentative="1">
      <w:start w:val="1"/>
      <w:numFmt w:val="lowerLetter"/>
      <w:lvlText w:val="%5."/>
      <w:lvlJc w:val="left"/>
      <w:pPr>
        <w:ind w:left="3420" w:hanging="360"/>
      </w:pPr>
    </w:lvl>
    <w:lvl w:ilvl="5" w:tplc="1000001B" w:tentative="1">
      <w:start w:val="1"/>
      <w:numFmt w:val="lowerRoman"/>
      <w:lvlText w:val="%6."/>
      <w:lvlJc w:val="right"/>
      <w:pPr>
        <w:ind w:left="4140" w:hanging="180"/>
      </w:pPr>
    </w:lvl>
    <w:lvl w:ilvl="6" w:tplc="1000000F" w:tentative="1">
      <w:start w:val="1"/>
      <w:numFmt w:val="decimal"/>
      <w:lvlText w:val="%7."/>
      <w:lvlJc w:val="left"/>
      <w:pPr>
        <w:ind w:left="4860" w:hanging="360"/>
      </w:pPr>
    </w:lvl>
    <w:lvl w:ilvl="7" w:tplc="10000019" w:tentative="1">
      <w:start w:val="1"/>
      <w:numFmt w:val="lowerLetter"/>
      <w:lvlText w:val="%8."/>
      <w:lvlJc w:val="left"/>
      <w:pPr>
        <w:ind w:left="5580" w:hanging="360"/>
      </w:pPr>
    </w:lvl>
    <w:lvl w:ilvl="8" w:tplc="100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2AD1FAF"/>
    <w:multiLevelType w:val="hybridMultilevel"/>
    <w:tmpl w:val="4F2EF4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222DB"/>
    <w:multiLevelType w:val="hybridMultilevel"/>
    <w:tmpl w:val="F05453DA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397C8C"/>
    <w:multiLevelType w:val="hybridMultilevel"/>
    <w:tmpl w:val="D200C72A"/>
    <w:lvl w:ilvl="0" w:tplc="1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1"/>
  </w:num>
  <w:num w:numId="5">
    <w:abstractNumId w:val="10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11"/>
  </w:num>
  <w:num w:numId="11">
    <w:abstractNumId w:val="9"/>
  </w:num>
  <w:num w:numId="12">
    <w:abstractNumId w:val="6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F5A"/>
    <w:rsid w:val="00002977"/>
    <w:rsid w:val="00015353"/>
    <w:rsid w:val="0002342C"/>
    <w:rsid w:val="00073300"/>
    <w:rsid w:val="00075A47"/>
    <w:rsid w:val="000B19CC"/>
    <w:rsid w:val="000B5851"/>
    <w:rsid w:val="000C60C2"/>
    <w:rsid w:val="000E00B4"/>
    <w:rsid w:val="000E7FAD"/>
    <w:rsid w:val="000F7DD8"/>
    <w:rsid w:val="0010209F"/>
    <w:rsid w:val="001103DD"/>
    <w:rsid w:val="00120E27"/>
    <w:rsid w:val="00163D43"/>
    <w:rsid w:val="00164E6C"/>
    <w:rsid w:val="00171F70"/>
    <w:rsid w:val="001731FC"/>
    <w:rsid w:val="001836C3"/>
    <w:rsid w:val="00193032"/>
    <w:rsid w:val="0019774B"/>
    <w:rsid w:val="00197F1C"/>
    <w:rsid w:val="001B5B48"/>
    <w:rsid w:val="001D4F34"/>
    <w:rsid w:val="001F2D10"/>
    <w:rsid w:val="001F362A"/>
    <w:rsid w:val="001F4225"/>
    <w:rsid w:val="0022593E"/>
    <w:rsid w:val="00226A7F"/>
    <w:rsid w:val="00236053"/>
    <w:rsid w:val="002454AF"/>
    <w:rsid w:val="00253C30"/>
    <w:rsid w:val="00264A58"/>
    <w:rsid w:val="00266A39"/>
    <w:rsid w:val="00271B93"/>
    <w:rsid w:val="0027506C"/>
    <w:rsid w:val="00277E2E"/>
    <w:rsid w:val="00294257"/>
    <w:rsid w:val="002A4F03"/>
    <w:rsid w:val="002A5DF4"/>
    <w:rsid w:val="002C0E07"/>
    <w:rsid w:val="002F2F91"/>
    <w:rsid w:val="002F439F"/>
    <w:rsid w:val="00333C3B"/>
    <w:rsid w:val="003423C4"/>
    <w:rsid w:val="0034247A"/>
    <w:rsid w:val="00364EC9"/>
    <w:rsid w:val="003829C3"/>
    <w:rsid w:val="003B12A3"/>
    <w:rsid w:val="003D162D"/>
    <w:rsid w:val="003E5436"/>
    <w:rsid w:val="003F45A0"/>
    <w:rsid w:val="004067E7"/>
    <w:rsid w:val="00411C45"/>
    <w:rsid w:val="004249FA"/>
    <w:rsid w:val="00425810"/>
    <w:rsid w:val="00446DC4"/>
    <w:rsid w:val="00454246"/>
    <w:rsid w:val="00474A5E"/>
    <w:rsid w:val="00484B14"/>
    <w:rsid w:val="004902EF"/>
    <w:rsid w:val="00493425"/>
    <w:rsid w:val="004E62A4"/>
    <w:rsid w:val="004F681C"/>
    <w:rsid w:val="00503A27"/>
    <w:rsid w:val="00515743"/>
    <w:rsid w:val="00517FCB"/>
    <w:rsid w:val="00530B49"/>
    <w:rsid w:val="0055581B"/>
    <w:rsid w:val="00581D43"/>
    <w:rsid w:val="00597CD4"/>
    <w:rsid w:val="005B54A0"/>
    <w:rsid w:val="005C5198"/>
    <w:rsid w:val="005C6F57"/>
    <w:rsid w:val="005D1E4B"/>
    <w:rsid w:val="005F067E"/>
    <w:rsid w:val="005F4938"/>
    <w:rsid w:val="005F5BD7"/>
    <w:rsid w:val="006123C3"/>
    <w:rsid w:val="00633009"/>
    <w:rsid w:val="00642699"/>
    <w:rsid w:val="006704C1"/>
    <w:rsid w:val="0067632E"/>
    <w:rsid w:val="006B0B12"/>
    <w:rsid w:val="006B2221"/>
    <w:rsid w:val="006B7F55"/>
    <w:rsid w:val="006C23FD"/>
    <w:rsid w:val="006C7553"/>
    <w:rsid w:val="006D12B1"/>
    <w:rsid w:val="006D4B61"/>
    <w:rsid w:val="006D7347"/>
    <w:rsid w:val="006D7E4D"/>
    <w:rsid w:val="006E0DB2"/>
    <w:rsid w:val="006F2AFF"/>
    <w:rsid w:val="00700475"/>
    <w:rsid w:val="007126F5"/>
    <w:rsid w:val="007174C8"/>
    <w:rsid w:val="00720D82"/>
    <w:rsid w:val="007271CA"/>
    <w:rsid w:val="007318D7"/>
    <w:rsid w:val="00746910"/>
    <w:rsid w:val="00747A55"/>
    <w:rsid w:val="00763219"/>
    <w:rsid w:val="0078059C"/>
    <w:rsid w:val="007A0837"/>
    <w:rsid w:val="007A122F"/>
    <w:rsid w:val="007C1907"/>
    <w:rsid w:val="007C61D8"/>
    <w:rsid w:val="007D0549"/>
    <w:rsid w:val="00811ADF"/>
    <w:rsid w:val="00812691"/>
    <w:rsid w:val="0083223F"/>
    <w:rsid w:val="0084055E"/>
    <w:rsid w:val="008601A8"/>
    <w:rsid w:val="008666D6"/>
    <w:rsid w:val="00874BB1"/>
    <w:rsid w:val="00877030"/>
    <w:rsid w:val="008803C4"/>
    <w:rsid w:val="0089071B"/>
    <w:rsid w:val="0089160E"/>
    <w:rsid w:val="00895AFC"/>
    <w:rsid w:val="008A43EC"/>
    <w:rsid w:val="008B29A5"/>
    <w:rsid w:val="008C00D9"/>
    <w:rsid w:val="008D28C3"/>
    <w:rsid w:val="008F6783"/>
    <w:rsid w:val="00913BFA"/>
    <w:rsid w:val="009339AF"/>
    <w:rsid w:val="009514B4"/>
    <w:rsid w:val="00970108"/>
    <w:rsid w:val="009733E2"/>
    <w:rsid w:val="0099354A"/>
    <w:rsid w:val="009B09DD"/>
    <w:rsid w:val="009C5614"/>
    <w:rsid w:val="009C63FB"/>
    <w:rsid w:val="009D315C"/>
    <w:rsid w:val="009E0848"/>
    <w:rsid w:val="009E3F5A"/>
    <w:rsid w:val="00A07D97"/>
    <w:rsid w:val="00A155D8"/>
    <w:rsid w:val="00A2124E"/>
    <w:rsid w:val="00A307C4"/>
    <w:rsid w:val="00A34165"/>
    <w:rsid w:val="00A41231"/>
    <w:rsid w:val="00A54D50"/>
    <w:rsid w:val="00A63E2A"/>
    <w:rsid w:val="00A77D6C"/>
    <w:rsid w:val="00A871C4"/>
    <w:rsid w:val="00A93278"/>
    <w:rsid w:val="00AB1E69"/>
    <w:rsid w:val="00AC2762"/>
    <w:rsid w:val="00AC2C45"/>
    <w:rsid w:val="00AC6C09"/>
    <w:rsid w:val="00AD6672"/>
    <w:rsid w:val="00AE0D17"/>
    <w:rsid w:val="00AE3B65"/>
    <w:rsid w:val="00AF0A69"/>
    <w:rsid w:val="00B1044D"/>
    <w:rsid w:val="00B12D9C"/>
    <w:rsid w:val="00B22EFC"/>
    <w:rsid w:val="00B2404A"/>
    <w:rsid w:val="00B34B4F"/>
    <w:rsid w:val="00B415E2"/>
    <w:rsid w:val="00B44423"/>
    <w:rsid w:val="00B73ACF"/>
    <w:rsid w:val="00B907BA"/>
    <w:rsid w:val="00BB66C8"/>
    <w:rsid w:val="00BC0A4B"/>
    <w:rsid w:val="00BD79EB"/>
    <w:rsid w:val="00BE3AAF"/>
    <w:rsid w:val="00BE440E"/>
    <w:rsid w:val="00C07145"/>
    <w:rsid w:val="00C125C7"/>
    <w:rsid w:val="00C160EB"/>
    <w:rsid w:val="00C22FCE"/>
    <w:rsid w:val="00C40FE6"/>
    <w:rsid w:val="00C41D1B"/>
    <w:rsid w:val="00C665D3"/>
    <w:rsid w:val="00C72E2D"/>
    <w:rsid w:val="00C83702"/>
    <w:rsid w:val="00C97FCA"/>
    <w:rsid w:val="00CA69DA"/>
    <w:rsid w:val="00CD36D8"/>
    <w:rsid w:val="00CE1AA7"/>
    <w:rsid w:val="00CF5787"/>
    <w:rsid w:val="00D31074"/>
    <w:rsid w:val="00D63B7D"/>
    <w:rsid w:val="00D64884"/>
    <w:rsid w:val="00D83893"/>
    <w:rsid w:val="00D86B1D"/>
    <w:rsid w:val="00D92F8D"/>
    <w:rsid w:val="00D93088"/>
    <w:rsid w:val="00D95C49"/>
    <w:rsid w:val="00DA132E"/>
    <w:rsid w:val="00DA589B"/>
    <w:rsid w:val="00DB078C"/>
    <w:rsid w:val="00DB1B20"/>
    <w:rsid w:val="00DC24AA"/>
    <w:rsid w:val="00DD69E8"/>
    <w:rsid w:val="00DD6F15"/>
    <w:rsid w:val="00DD77A6"/>
    <w:rsid w:val="00DD7FC0"/>
    <w:rsid w:val="00E06294"/>
    <w:rsid w:val="00E34113"/>
    <w:rsid w:val="00E47388"/>
    <w:rsid w:val="00E66D51"/>
    <w:rsid w:val="00E71385"/>
    <w:rsid w:val="00E83328"/>
    <w:rsid w:val="00EA49DA"/>
    <w:rsid w:val="00EB3AF2"/>
    <w:rsid w:val="00EB5C59"/>
    <w:rsid w:val="00EC4FA3"/>
    <w:rsid w:val="00ED11D0"/>
    <w:rsid w:val="00ED503A"/>
    <w:rsid w:val="00EF65D6"/>
    <w:rsid w:val="00F0424B"/>
    <w:rsid w:val="00F330DF"/>
    <w:rsid w:val="00F64B00"/>
    <w:rsid w:val="00F65C78"/>
    <w:rsid w:val="00F8465B"/>
    <w:rsid w:val="00F87C53"/>
    <w:rsid w:val="00F90AC5"/>
    <w:rsid w:val="00F94743"/>
    <w:rsid w:val="00FB221B"/>
    <w:rsid w:val="00FC3496"/>
    <w:rsid w:val="00FF7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195B88"/>
  <w15:chartTrackingRefBased/>
  <w15:docId w15:val="{96785682-BADC-42B1-9865-777E7F349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3F5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3F5A"/>
    <w:rPr>
      <w:rFonts w:asciiTheme="minorHAnsi" w:eastAsia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E3F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3F5A"/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3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3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3F5A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F5A"/>
    <w:rPr>
      <w:rFonts w:ascii="Segoe UI" w:eastAsiaTheme="minorHAns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3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3F5A"/>
    <w:rPr>
      <w:rFonts w:asciiTheme="minorHAnsi" w:eastAsiaTheme="minorHAnsi" w:hAnsiTheme="minorHAnsi" w:cstheme="minorBidi"/>
      <w:b/>
      <w:bCs/>
    </w:rPr>
  </w:style>
  <w:style w:type="character" w:styleId="Hyperlink">
    <w:name w:val="Hyperlink"/>
    <w:basedOn w:val="DefaultParagraphFont"/>
    <w:uiPriority w:val="99"/>
    <w:unhideWhenUsed/>
    <w:rsid w:val="00A871C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1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34B4F"/>
    <w:rPr>
      <w:rFonts w:asciiTheme="minorHAnsi" w:eastAsiaTheme="minorHAnsi" w:hAnsiTheme="minorHAnsi" w:cstheme="minorBidi"/>
      <w:sz w:val="22"/>
      <w:szCs w:val="22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2454A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6704C1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FB221B"/>
    <w:rPr>
      <w:color w:val="605E5C"/>
      <w:shd w:val="clear" w:color="auto" w:fill="E1DFDD"/>
    </w:rPr>
  </w:style>
  <w:style w:type="character" w:styleId="PageNumber">
    <w:name w:val="page number"/>
    <w:basedOn w:val="DefaultParagraphFont"/>
    <w:uiPriority w:val="99"/>
    <w:semiHidden/>
    <w:unhideWhenUsed/>
    <w:rsid w:val="00FB221B"/>
  </w:style>
  <w:style w:type="paragraph" w:styleId="HTMLPreformatted">
    <w:name w:val="HTML Preformatted"/>
    <w:basedOn w:val="Normal"/>
    <w:link w:val="HTMLPreformattedChar"/>
    <w:uiPriority w:val="99"/>
    <w:unhideWhenUsed/>
    <w:rsid w:val="00D63B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D63B7D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746910"/>
    <w:pPr>
      <w:ind w:left="720"/>
      <w:contextualSpacing/>
    </w:pPr>
  </w:style>
  <w:style w:type="table" w:styleId="TableGrid">
    <w:name w:val="Table Grid"/>
    <w:basedOn w:val="TableNormal"/>
    <w:uiPriority w:val="59"/>
    <w:rsid w:val="00913BFA"/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49342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83223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F45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32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9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ntivocares@itec.pr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C485-D495-4262-9798-26B94D3D7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Spillan</dc:creator>
  <cp:keywords/>
  <dc:description/>
  <cp:lastModifiedBy>Gabie</cp:lastModifiedBy>
  <cp:revision>13</cp:revision>
  <cp:lastPrinted>2020-01-11T16:38:00Z</cp:lastPrinted>
  <dcterms:created xsi:type="dcterms:W3CDTF">2020-05-15T14:54:00Z</dcterms:created>
  <dcterms:modified xsi:type="dcterms:W3CDTF">2020-05-15T20:04:00Z</dcterms:modified>
</cp:coreProperties>
</file>