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76A15" w14:textId="4FA4C10F" w:rsidR="00A26EE9" w:rsidRPr="00333D9E" w:rsidRDefault="00A26EE9" w:rsidP="00C305A9">
      <w:pPr>
        <w:pStyle w:val="Title"/>
        <w:tabs>
          <w:tab w:val="left" w:pos="3381"/>
          <w:tab w:val="center" w:pos="4680"/>
        </w:tabs>
        <w:rPr>
          <w:kern w:val="2"/>
        </w:rPr>
      </w:pPr>
      <w:r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46E1EE43" w:rsidR="00A26EE9" w:rsidRPr="00C95E5E" w:rsidRDefault="00D64CCC" w:rsidP="00376FEE">
      <w:pPr>
        <w:jc w:val="center"/>
        <w:rPr>
          <w:b/>
          <w:bCs/>
          <w:kern w:val="2"/>
          <w:sz w:val="24"/>
        </w:rPr>
      </w:pPr>
      <w:r w:rsidRPr="00C95E5E">
        <w:rPr>
          <w:b/>
          <w:bCs/>
          <w:kern w:val="2"/>
          <w:sz w:val="24"/>
        </w:rPr>
        <w:t xml:space="preserve">ANNUAL STATE APPLICATION UNDER PART B OF </w:t>
      </w:r>
      <w:r>
        <w:rPr>
          <w:b/>
          <w:bCs/>
          <w:kern w:val="2"/>
          <w:sz w:val="24"/>
        </w:rPr>
        <w:t>T</w:t>
      </w:r>
      <w:r w:rsidRPr="00C95E5E">
        <w:rPr>
          <w:b/>
          <w:bCs/>
          <w:kern w:val="2"/>
          <w:sz w:val="24"/>
        </w:rPr>
        <w:t xml:space="preserve">HE </w:t>
      </w:r>
      <w:r w:rsidRPr="00C95E5E">
        <w:rPr>
          <w:b/>
          <w:bCs/>
          <w:kern w:val="2"/>
          <w:sz w:val="24"/>
        </w:rPr>
        <w:br/>
        <w:t xml:space="preserve">INDIVIDUALS </w:t>
      </w:r>
      <w:r>
        <w:rPr>
          <w:b/>
          <w:bCs/>
          <w:kern w:val="2"/>
          <w:sz w:val="24"/>
        </w:rPr>
        <w:t>W</w:t>
      </w:r>
      <w:r w:rsidRPr="00C95E5E">
        <w:rPr>
          <w:b/>
          <w:bCs/>
          <w:kern w:val="2"/>
          <w:sz w:val="24"/>
        </w:rPr>
        <w:t xml:space="preserve">ITH DISABILITIES EDUCATION ACT </w:t>
      </w:r>
      <w:r>
        <w:rPr>
          <w:b/>
          <w:bCs/>
          <w:kern w:val="2"/>
          <w:sz w:val="24"/>
        </w:rPr>
        <w:t>A</w:t>
      </w:r>
      <w:r w:rsidRPr="00C95E5E">
        <w:rPr>
          <w:b/>
          <w:bCs/>
          <w:kern w:val="2"/>
          <w:sz w:val="24"/>
        </w:rPr>
        <w:t xml:space="preserve">S AMENDED </w:t>
      </w:r>
      <w:r>
        <w:rPr>
          <w:b/>
          <w:bCs/>
          <w:kern w:val="2"/>
          <w:sz w:val="24"/>
        </w:rPr>
        <w:t>I</w:t>
      </w:r>
      <w:r w:rsidRPr="00C95E5E">
        <w:rPr>
          <w:b/>
          <w:bCs/>
          <w:kern w:val="2"/>
          <w:sz w:val="24"/>
        </w:rPr>
        <w:t xml:space="preserve">N 2004 </w:t>
      </w:r>
      <w:r w:rsidRPr="00C95E5E">
        <w:rPr>
          <w:b/>
          <w:bCs/>
          <w:kern w:val="2"/>
          <w:sz w:val="24"/>
        </w:rPr>
        <w:br/>
      </w:r>
      <w:r>
        <w:rPr>
          <w:b/>
          <w:bCs/>
          <w:kern w:val="2"/>
          <w:sz w:val="24"/>
        </w:rPr>
        <w:t>F</w:t>
      </w:r>
      <w:r w:rsidRPr="00C95E5E">
        <w:rPr>
          <w:b/>
          <w:bCs/>
          <w:kern w:val="2"/>
          <w:sz w:val="24"/>
        </w:rPr>
        <w:t xml:space="preserve">OR FEDERAL FISCAL YEAR </w:t>
      </w:r>
      <w:r>
        <w:rPr>
          <w:b/>
          <w:bCs/>
          <w:kern w:val="2"/>
          <w:sz w:val="24"/>
        </w:rPr>
        <w:t>202</w:t>
      </w:r>
      <w:r w:rsidR="0032525D">
        <w:rPr>
          <w:b/>
          <w:bCs/>
          <w:kern w:val="2"/>
          <w:sz w:val="24"/>
        </w:rPr>
        <w:t>1</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3D1D0C">
      <w:pPr>
        <w:pStyle w:val="Title"/>
        <w:spacing w:before="960" w:after="240"/>
        <w:rPr>
          <w:kern w:val="2"/>
          <w:sz w:val="18"/>
          <w:szCs w:val="18"/>
        </w:rPr>
      </w:pPr>
      <w:r w:rsidRPr="00333D9E">
        <w:rPr>
          <w:kern w:val="2"/>
          <w:sz w:val="18"/>
          <w:szCs w:val="18"/>
        </w:rPr>
        <w:t>Public Burden Statement</w:t>
      </w:r>
    </w:p>
    <w:p w14:paraId="46B909B1" w14:textId="4EFE9F3D" w:rsidR="0087506D" w:rsidRDefault="00A12BC0" w:rsidP="0032525D">
      <w:pPr>
        <w:pStyle w:val="ListParagraph"/>
        <w:ind w:left="0"/>
        <w:rPr>
          <w:rFonts w:ascii="Arial" w:hAnsi="Arial" w:cs="Arial"/>
          <w:bCs/>
          <w:sz w:val="20"/>
          <w:szCs w:val="20"/>
        </w:rPr>
      </w:pPr>
      <w:bookmarkStart w:id="0" w:name="_Hlk17375040"/>
      <w:r w:rsidRPr="00095207">
        <w:rPr>
          <w:rFonts w:ascii="Arial" w:hAnsi="Arial" w:cs="Arial"/>
          <w:sz w:val="20"/>
          <w:szCs w:val="20"/>
        </w:rPr>
        <w:t>According to the Paperwork Reduction Act of 1995, no persons are required to respond to a collection of</w:t>
      </w:r>
      <w:r w:rsidR="0032525D">
        <w:rPr>
          <w:rFonts w:ascii="Arial" w:hAnsi="Arial" w:cs="Arial"/>
          <w:sz w:val="20"/>
          <w:szCs w:val="20"/>
        </w:rPr>
        <w:t xml:space="preserve"> </w:t>
      </w:r>
      <w:r w:rsidRPr="00095207">
        <w:rPr>
          <w:rFonts w:ascii="Arial" w:hAnsi="Arial" w:cs="Arial"/>
          <w:sz w:val="20"/>
          <w:szCs w:val="20"/>
        </w:rPr>
        <w:t>information unless such collection displays a currently valid OMB control number. The valid OMB control</w:t>
      </w:r>
      <w:r w:rsidR="0032525D">
        <w:rPr>
          <w:rFonts w:ascii="Arial" w:hAnsi="Arial" w:cs="Arial"/>
          <w:sz w:val="20"/>
          <w:szCs w:val="20"/>
        </w:rPr>
        <w:t xml:space="preserve"> </w:t>
      </w:r>
      <w:r w:rsidRPr="00095207">
        <w:rPr>
          <w:rFonts w:ascii="Arial" w:hAnsi="Arial" w:cs="Arial"/>
          <w:sz w:val="20"/>
          <w:szCs w:val="20"/>
        </w:rPr>
        <w:t>number for this collection is 1820-0030. Public reporting burden for this collection of information is 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reporting data related to significant disproportionality in a given year, including the time for reviewing instructions, searching existing data sources, gathering and maintaining the data needed, and completing and reviewing the collection of information. The obligation to respond to this collection is required to 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If you have comments or concerns regarding the status of your individual submission of this form, please contact</w:t>
      </w:r>
      <w:r w:rsidRPr="0041340E">
        <w:rPr>
          <w:rFonts w:ascii="Arial" w:hAnsi="Arial" w:cs="Arial"/>
          <w:bCs/>
          <w:sz w:val="20"/>
          <w:szCs w:val="20"/>
        </w:rPr>
        <w:t xml:space="preserve"> Jennifer Simpson at </w:t>
      </w:r>
      <w:hyperlink r:id="rId11" w:history="1">
        <w:r w:rsidRPr="0041340E">
          <w:rPr>
            <w:rStyle w:val="Hyperlink"/>
            <w:rFonts w:ascii="Arial" w:hAnsi="Arial" w:cs="Arial"/>
            <w:bCs/>
            <w:sz w:val="20"/>
            <w:szCs w:val="20"/>
          </w:rPr>
          <w:t>Jennifer.Simpson@ed.gov</w:t>
        </w:r>
      </w:hyperlink>
      <w:r w:rsidRPr="0041340E">
        <w:rPr>
          <w:rFonts w:ascii="Arial" w:hAnsi="Arial" w:cs="Arial"/>
          <w:bCs/>
          <w:sz w:val="20"/>
          <w:szCs w:val="20"/>
        </w:rPr>
        <w:t xml:space="preserve"> or at </w:t>
      </w:r>
      <w:r>
        <w:rPr>
          <w:rFonts w:ascii="Arial" w:hAnsi="Arial" w:cs="Arial"/>
          <w:bCs/>
          <w:sz w:val="20"/>
          <w:szCs w:val="20"/>
        </w:rPr>
        <w:t xml:space="preserve">the </w:t>
      </w:r>
      <w:r w:rsidRPr="0041340E">
        <w:rPr>
          <w:rFonts w:ascii="Arial" w:hAnsi="Arial" w:cs="Arial"/>
          <w:bCs/>
          <w:sz w:val="20"/>
          <w:szCs w:val="20"/>
        </w:rPr>
        <w:t>Office of Special Education and Rehabilitative Services U</w:t>
      </w:r>
      <w:r w:rsidR="0032525D">
        <w:rPr>
          <w:rFonts w:ascii="Arial" w:hAnsi="Arial" w:cs="Arial"/>
          <w:bCs/>
          <w:sz w:val="20"/>
          <w:szCs w:val="20"/>
        </w:rPr>
        <w:t>.</w:t>
      </w:r>
      <w:r w:rsidRPr="0041340E">
        <w:rPr>
          <w:rFonts w:ascii="Arial" w:hAnsi="Arial" w:cs="Arial"/>
          <w:bCs/>
          <w:sz w:val="20"/>
          <w:szCs w:val="20"/>
        </w:rPr>
        <w:t>S</w:t>
      </w:r>
      <w:r w:rsidR="0032525D">
        <w:rPr>
          <w:rFonts w:ascii="Arial" w:hAnsi="Arial" w:cs="Arial"/>
          <w:bCs/>
          <w:sz w:val="20"/>
          <w:szCs w:val="20"/>
        </w:rPr>
        <w:t>.</w:t>
      </w:r>
      <w:r w:rsidRPr="0041340E">
        <w:rPr>
          <w:rFonts w:ascii="Arial" w:hAnsi="Arial" w:cs="Arial"/>
          <w:bCs/>
          <w:sz w:val="20"/>
          <w:szCs w:val="20"/>
        </w:rPr>
        <w:t xml:space="preserve"> Department of Education, 400 Maryland Avenue SW, Washington, DC 20202.</w:t>
      </w:r>
      <w:bookmarkEnd w:id="0"/>
      <w:bookmarkEnd w:id="1"/>
    </w:p>
    <w:p w14:paraId="0E9638F6" w14:textId="73BBD897" w:rsidR="000278FF" w:rsidRDefault="00014E14" w:rsidP="00C305A9">
      <w:pPr>
        <w:pStyle w:val="Heading1"/>
        <w:spacing w:before="240"/>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E28AC56" w:rsidR="00A26EE9" w:rsidRPr="00333D9E" w:rsidRDefault="00A26EE9">
      <w:pPr>
        <w:spacing w:after="120"/>
        <w:rPr>
          <w:kern w:val="2"/>
        </w:rPr>
      </w:pPr>
      <w:r w:rsidRPr="00333D9E">
        <w:rPr>
          <w:kern w:val="2"/>
        </w:rPr>
        <w:t>Please select 1 or 2 below. Check 3 if appropriate.</w:t>
      </w:r>
    </w:p>
    <w:p w14:paraId="12276A24" w14:textId="792D7F16" w:rsidR="00A26EE9" w:rsidRPr="00333D9E" w:rsidRDefault="00A26EE9">
      <w:pPr>
        <w:pStyle w:val="BodyTextIndent"/>
        <w:spacing w:after="120"/>
        <w:ind w:left="1195" w:hanging="1195"/>
        <w:rPr>
          <w:kern w:val="2"/>
        </w:rPr>
      </w:pPr>
      <w:r w:rsidRPr="00333D9E">
        <w:rPr>
          <w:kern w:val="2"/>
        </w:rPr>
        <w:t>___</w:t>
      </w:r>
      <w:r w:rsidR="00485102">
        <w:rPr>
          <w:kern w:val="2"/>
        </w:rPr>
        <w:t>X</w:t>
      </w:r>
      <w:r w:rsidRPr="00333D9E">
        <w:rPr>
          <w:kern w:val="2"/>
        </w:rPr>
        <w:t>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036A76CB"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020BCC">
        <w:rPr>
          <w:kern w:val="2"/>
        </w:rPr>
        <w:t>2022</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10991244"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23309A32" w:rsidR="00A26EE9" w:rsidRPr="00333D9E" w:rsidRDefault="00A26EE9">
      <w:pPr>
        <w:pStyle w:val="BodyTextIndent"/>
        <w:autoSpaceDE w:val="0"/>
        <w:autoSpaceDN w:val="0"/>
        <w:adjustRightInd w:val="0"/>
        <w:ind w:left="1400" w:hanging="1000"/>
        <w:rPr>
          <w:kern w:val="2"/>
          <w:szCs w:val="20"/>
        </w:rPr>
      </w:pPr>
      <w:r w:rsidRPr="00333D9E">
        <w:rPr>
          <w:kern w:val="2"/>
          <w:szCs w:val="20"/>
        </w:rPr>
        <w:t>__</w:t>
      </w:r>
      <w:r w:rsidR="00485102">
        <w:rPr>
          <w:kern w:val="2"/>
          <w:szCs w:val="20"/>
        </w:rPr>
        <w:t>X</w:t>
      </w:r>
      <w:r w:rsidRPr="00333D9E">
        <w:rPr>
          <w:kern w:val="2"/>
          <w:szCs w:val="20"/>
        </w:rPr>
        <w:t>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C" w14:textId="31B80943"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C480AE8"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F" w14:textId="72D74FA1"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34BBA">
        <w:rPr>
          <w:kern w:val="2"/>
          <w:szCs w:val="20"/>
        </w:rPr>
        <w:t>2020</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64AF3170"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034BBA">
        <w:rPr>
          <w:kern w:val="2"/>
          <w:szCs w:val="20"/>
        </w:rPr>
        <w:t>2020</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206B42E8" w14:textId="77777777" w:rsidR="00A26EE9" w:rsidRDefault="00A26EE9">
      <w:pPr>
        <w:pStyle w:val="FootnoteText"/>
        <w:ind w:left="1200" w:hanging="1200"/>
        <w:rPr>
          <w:kern w:val="2"/>
          <w:szCs w:val="24"/>
        </w:rPr>
      </w:pPr>
    </w:p>
    <w:p w14:paraId="12276A31" w14:textId="3BBEC3D3" w:rsidR="00D64CCC" w:rsidRPr="00333D9E" w:rsidRDefault="00D64CCC">
      <w:pPr>
        <w:pStyle w:val="FootnoteText"/>
        <w:ind w:left="1200" w:hanging="1200"/>
        <w:rPr>
          <w:kern w:val="2"/>
          <w:szCs w:val="24"/>
        </w:rPr>
        <w:sectPr w:rsidR="00D64CCC"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D64CCC">
        <w:trPr>
          <w:cantSplit/>
          <w:tblHeader/>
        </w:trPr>
        <w:tc>
          <w:tcPr>
            <w:tcW w:w="1296" w:type="dxa"/>
            <w:tcBorders>
              <w:top w:val="single" w:sz="12" w:space="0" w:color="auto"/>
              <w:bottom w:val="single" w:sz="12" w:space="0" w:color="auto"/>
            </w:tcBorders>
            <w:shd w:val="clear" w:color="auto" w:fill="F2F2F2" w:themeFill="background1" w:themeFillShade="F2"/>
          </w:tcPr>
          <w:p w14:paraId="12276A35" w14:textId="77777777" w:rsidR="00333D9E" w:rsidRPr="00333D9E" w:rsidRDefault="00333D9E" w:rsidP="00C305A9">
            <w:pPr>
              <w:pStyle w:val="Heading4"/>
              <w:spacing w:before="120" w:after="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top w:val="single" w:sz="12" w:space="0" w:color="auto"/>
              <w:bottom w:val="single" w:sz="12" w:space="0" w:color="auto"/>
            </w:tcBorders>
            <w:shd w:val="clear" w:color="auto" w:fill="F2F2F2" w:themeFill="background1" w:themeFillShade="F2"/>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top w:val="single" w:sz="12" w:space="0" w:color="auto"/>
              <w:bottom w:val="single" w:sz="12" w:space="0" w:color="auto"/>
            </w:tcBorders>
            <w:shd w:val="clear" w:color="auto" w:fill="F2F2F2" w:themeFill="background1" w:themeFillShade="F2"/>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C305A9">
        <w:trPr>
          <w:cantSplit/>
        </w:trPr>
        <w:tc>
          <w:tcPr>
            <w:tcW w:w="1296" w:type="dxa"/>
            <w:tcBorders>
              <w:top w:val="single" w:sz="12" w:space="0" w:color="auto"/>
            </w:tcBorders>
          </w:tcPr>
          <w:p w14:paraId="12276A3C" w14:textId="4F5BE063" w:rsidR="00333D9E" w:rsidRPr="00333D9E" w:rsidRDefault="00485102" w:rsidP="00C9157B">
            <w:pPr>
              <w:jc w:val="center"/>
              <w:rPr>
                <w:kern w:val="2"/>
              </w:rPr>
            </w:pPr>
            <w:r>
              <w:rPr>
                <w:kern w:val="2"/>
              </w:rPr>
              <w:t>X</w:t>
            </w:r>
          </w:p>
        </w:tc>
        <w:tc>
          <w:tcPr>
            <w:tcW w:w="1296" w:type="dxa"/>
            <w:tcBorders>
              <w:top w:val="single" w:sz="12" w:space="0" w:color="auto"/>
            </w:tcBorders>
          </w:tcPr>
          <w:p w14:paraId="12276A3D" w14:textId="77777777" w:rsidR="00333D9E" w:rsidRPr="00333D9E" w:rsidRDefault="00333D9E" w:rsidP="00C9157B">
            <w:pPr>
              <w:jc w:val="center"/>
              <w:rPr>
                <w:kern w:val="2"/>
              </w:rPr>
            </w:pPr>
          </w:p>
        </w:tc>
        <w:tc>
          <w:tcPr>
            <w:tcW w:w="7200" w:type="dxa"/>
            <w:tcBorders>
              <w:top w:val="single" w:sz="12" w:space="0" w:color="auto"/>
            </w:tcBorders>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305A9">
        <w:trPr>
          <w:cantSplit/>
        </w:trPr>
        <w:tc>
          <w:tcPr>
            <w:tcW w:w="1296" w:type="dxa"/>
          </w:tcPr>
          <w:p w14:paraId="12276A40" w14:textId="63D46416" w:rsidR="00333D9E" w:rsidRPr="00333D9E" w:rsidRDefault="00485102"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305A9">
        <w:trPr>
          <w:cantSplit/>
        </w:trPr>
        <w:tc>
          <w:tcPr>
            <w:tcW w:w="1296" w:type="dxa"/>
          </w:tcPr>
          <w:p w14:paraId="12276A44" w14:textId="14D56E57" w:rsidR="00333D9E" w:rsidRPr="00333D9E" w:rsidRDefault="00485102"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305A9">
        <w:trPr>
          <w:cantSplit/>
        </w:trPr>
        <w:tc>
          <w:tcPr>
            <w:tcW w:w="1296" w:type="dxa"/>
          </w:tcPr>
          <w:p w14:paraId="12276A48" w14:textId="367A4C9B" w:rsidR="00333D9E" w:rsidRPr="00333D9E" w:rsidRDefault="00485102"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305A9">
        <w:trPr>
          <w:cantSplit/>
        </w:trPr>
        <w:tc>
          <w:tcPr>
            <w:tcW w:w="1296" w:type="dxa"/>
          </w:tcPr>
          <w:p w14:paraId="12276A4C" w14:textId="698E7E90" w:rsidR="00333D9E" w:rsidRPr="00333D9E" w:rsidRDefault="00485102" w:rsidP="00C9157B">
            <w:pPr>
              <w:jc w:val="center"/>
              <w:rPr>
                <w:kern w:val="2"/>
              </w:rPr>
            </w:pPr>
            <w:r>
              <w:rPr>
                <w:kern w:val="2"/>
              </w:rPr>
              <w:lastRenderedPageBreak/>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305A9">
        <w:trPr>
          <w:cantSplit/>
        </w:trPr>
        <w:tc>
          <w:tcPr>
            <w:tcW w:w="1296" w:type="dxa"/>
          </w:tcPr>
          <w:p w14:paraId="12276A50" w14:textId="3AC8372D" w:rsidR="00333D9E" w:rsidRPr="00333D9E" w:rsidRDefault="00485102" w:rsidP="00C9157B">
            <w:pPr>
              <w:jc w:val="center"/>
              <w:rPr>
                <w:kern w:val="2"/>
              </w:rPr>
            </w:pPr>
            <w:r>
              <w:rPr>
                <w:kern w:val="2"/>
              </w:rPr>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305A9">
        <w:trPr>
          <w:cantSplit/>
        </w:trPr>
        <w:tc>
          <w:tcPr>
            <w:tcW w:w="1296" w:type="dxa"/>
          </w:tcPr>
          <w:p w14:paraId="12276A54" w14:textId="2A9139DF" w:rsidR="00333D9E" w:rsidRPr="00333D9E" w:rsidRDefault="00485102"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305A9">
        <w:trPr>
          <w:cantSplit/>
        </w:trPr>
        <w:tc>
          <w:tcPr>
            <w:tcW w:w="1296" w:type="dxa"/>
          </w:tcPr>
          <w:p w14:paraId="12276A58" w14:textId="5311CFDC" w:rsidR="00333D9E" w:rsidRPr="00333D9E" w:rsidRDefault="00485102"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305A9">
        <w:trPr>
          <w:cantSplit/>
        </w:trPr>
        <w:tc>
          <w:tcPr>
            <w:tcW w:w="1296" w:type="dxa"/>
          </w:tcPr>
          <w:p w14:paraId="12276A5C" w14:textId="637D3AB5" w:rsidR="00333D9E" w:rsidRPr="00333D9E" w:rsidRDefault="00485102"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C305A9">
        <w:trPr>
          <w:cantSplit/>
        </w:trPr>
        <w:tc>
          <w:tcPr>
            <w:tcW w:w="1296" w:type="dxa"/>
          </w:tcPr>
          <w:p w14:paraId="12276A60" w14:textId="1DC61C33" w:rsidR="00333D9E" w:rsidRPr="00333D9E" w:rsidRDefault="002F1338" w:rsidP="00C9157B">
            <w:pPr>
              <w:jc w:val="center"/>
              <w:rPr>
                <w:kern w:val="2"/>
              </w:rPr>
            </w:pPr>
            <w:r>
              <w:rPr>
                <w:kern w:val="2"/>
              </w:rPr>
              <w:lastRenderedPageBreak/>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C305A9">
        <w:trPr>
          <w:cantSplit/>
        </w:trPr>
        <w:tc>
          <w:tcPr>
            <w:tcW w:w="1296" w:type="dxa"/>
          </w:tcPr>
          <w:p w14:paraId="12276A64" w14:textId="588E748F" w:rsidR="00333D9E" w:rsidRPr="00333D9E" w:rsidRDefault="002F1338"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C305A9">
        <w:trPr>
          <w:cantSplit/>
        </w:trPr>
        <w:tc>
          <w:tcPr>
            <w:tcW w:w="1296" w:type="dxa"/>
          </w:tcPr>
          <w:p w14:paraId="12276A68" w14:textId="770B68F2" w:rsidR="00333D9E" w:rsidRPr="00333D9E" w:rsidRDefault="002F1338"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C305A9">
        <w:trPr>
          <w:cantSplit/>
        </w:trPr>
        <w:tc>
          <w:tcPr>
            <w:tcW w:w="1296" w:type="dxa"/>
          </w:tcPr>
          <w:p w14:paraId="12276A6C" w14:textId="4BBBF40F" w:rsidR="00333D9E" w:rsidRPr="00333D9E" w:rsidRDefault="002F1338" w:rsidP="00C9157B">
            <w:pPr>
              <w:jc w:val="center"/>
              <w:rPr>
                <w:kern w:val="2"/>
              </w:rPr>
            </w:pPr>
            <w:r>
              <w:rPr>
                <w:kern w:val="2"/>
              </w:rPr>
              <w:t>N/A</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C305A9">
        <w:trPr>
          <w:cantSplit/>
        </w:trPr>
        <w:tc>
          <w:tcPr>
            <w:tcW w:w="1296" w:type="dxa"/>
          </w:tcPr>
          <w:p w14:paraId="12276A70" w14:textId="7517C684" w:rsidR="00333D9E" w:rsidRPr="00333D9E" w:rsidRDefault="002F1338" w:rsidP="00C9157B">
            <w:pPr>
              <w:jc w:val="center"/>
              <w:rPr>
                <w:kern w:val="2"/>
              </w:rPr>
            </w:pPr>
            <w:r>
              <w:rPr>
                <w:kern w:val="2"/>
              </w:rPr>
              <w:lastRenderedPageBreak/>
              <w:t>X</w:t>
            </w: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C305A9">
        <w:trPr>
          <w:cantSplit/>
        </w:trPr>
        <w:tc>
          <w:tcPr>
            <w:tcW w:w="1296" w:type="dxa"/>
          </w:tcPr>
          <w:p w14:paraId="12276A74" w14:textId="0210C85A" w:rsidR="00333D9E" w:rsidRPr="00333D9E" w:rsidRDefault="002F1338"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305A9">
        <w:trPr>
          <w:cantSplit/>
        </w:trPr>
        <w:tc>
          <w:tcPr>
            <w:tcW w:w="1296" w:type="dxa"/>
          </w:tcPr>
          <w:p w14:paraId="12276A78" w14:textId="5729A2E3" w:rsidR="00333D9E" w:rsidRPr="00333D9E" w:rsidRDefault="002F1338"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C305A9">
        <w:trPr>
          <w:cantSplit/>
        </w:trPr>
        <w:tc>
          <w:tcPr>
            <w:tcW w:w="1296" w:type="dxa"/>
          </w:tcPr>
          <w:p w14:paraId="12276A7C" w14:textId="14CB69EB" w:rsidR="00333D9E" w:rsidRPr="00333D9E" w:rsidRDefault="002F1338"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C305A9">
        <w:trPr>
          <w:cantSplit/>
        </w:trPr>
        <w:tc>
          <w:tcPr>
            <w:tcW w:w="1296" w:type="dxa"/>
          </w:tcPr>
          <w:p w14:paraId="12276A80" w14:textId="173C6D03" w:rsidR="00333D9E" w:rsidRPr="00333D9E" w:rsidRDefault="002F1338"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C305A9">
        <w:trPr>
          <w:cantSplit/>
        </w:trPr>
        <w:tc>
          <w:tcPr>
            <w:tcW w:w="1296" w:type="dxa"/>
          </w:tcPr>
          <w:p w14:paraId="12276A84" w14:textId="4414D01B" w:rsidR="00333D9E" w:rsidRPr="00333D9E" w:rsidRDefault="002F1338"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C305A9">
        <w:trPr>
          <w:cantSplit/>
        </w:trPr>
        <w:tc>
          <w:tcPr>
            <w:tcW w:w="1296" w:type="dxa"/>
          </w:tcPr>
          <w:p w14:paraId="12276A88" w14:textId="209360F2" w:rsidR="00333D9E" w:rsidRPr="00333D9E" w:rsidRDefault="002F1338" w:rsidP="00C9157B">
            <w:pPr>
              <w:jc w:val="center"/>
              <w:rPr>
                <w:kern w:val="2"/>
              </w:rPr>
            </w:pPr>
            <w:r>
              <w:rPr>
                <w:kern w:val="2"/>
              </w:rPr>
              <w:lastRenderedPageBreak/>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C305A9">
        <w:trPr>
          <w:cantSplit/>
        </w:trPr>
        <w:tc>
          <w:tcPr>
            <w:tcW w:w="1296" w:type="dxa"/>
          </w:tcPr>
          <w:p w14:paraId="12276A8C" w14:textId="161DC7CE" w:rsidR="00333D9E" w:rsidRPr="00333D9E" w:rsidRDefault="002F1338"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C305A9">
        <w:trPr>
          <w:cantSplit/>
        </w:trPr>
        <w:tc>
          <w:tcPr>
            <w:tcW w:w="1296" w:type="dxa"/>
          </w:tcPr>
          <w:p w14:paraId="12276A90" w14:textId="0697DE4A" w:rsidR="00333D9E" w:rsidRPr="00333D9E" w:rsidRDefault="002F1338" w:rsidP="00C9157B">
            <w:pPr>
              <w:jc w:val="center"/>
              <w:rPr>
                <w:kern w:val="2"/>
              </w:rPr>
            </w:pPr>
            <w:r>
              <w:rPr>
                <w:kern w:val="2"/>
              </w:rPr>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C305A9">
        <w:trPr>
          <w:cantSplit/>
        </w:trPr>
        <w:tc>
          <w:tcPr>
            <w:tcW w:w="1296" w:type="dxa"/>
          </w:tcPr>
          <w:p w14:paraId="12276A94" w14:textId="74BAD94B" w:rsidR="00333D9E" w:rsidRPr="00333D9E" w:rsidRDefault="002F1338"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C305A9">
        <w:trPr>
          <w:cantSplit/>
        </w:trPr>
        <w:tc>
          <w:tcPr>
            <w:tcW w:w="1296" w:type="dxa"/>
          </w:tcPr>
          <w:p w14:paraId="12276A98" w14:textId="77777777" w:rsidR="00333D9E" w:rsidRPr="00333D9E" w:rsidRDefault="00333D9E" w:rsidP="00C9157B">
            <w:pPr>
              <w:jc w:val="center"/>
              <w:rPr>
                <w:kern w:val="2"/>
              </w:rPr>
            </w:pPr>
          </w:p>
        </w:tc>
        <w:tc>
          <w:tcPr>
            <w:tcW w:w="1296" w:type="dxa"/>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305A9">
        <w:trPr>
          <w:cantSplit/>
        </w:trPr>
        <w:tc>
          <w:tcPr>
            <w:tcW w:w="1296" w:type="dxa"/>
          </w:tcPr>
          <w:p w14:paraId="12276A9C" w14:textId="20C15AB8" w:rsidR="00333D9E" w:rsidRPr="00333D9E" w:rsidRDefault="002F1338"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305A9">
        <w:trPr>
          <w:cantSplit/>
        </w:trPr>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C305A9">
        <w:trPr>
          <w:cantSplit/>
        </w:trPr>
        <w:tc>
          <w:tcPr>
            <w:tcW w:w="1296" w:type="dxa"/>
          </w:tcPr>
          <w:p w14:paraId="12276AA6" w14:textId="50AFA89D" w:rsidR="00333D9E" w:rsidRPr="00333D9E" w:rsidRDefault="002F1338"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C305A9">
        <w:trPr>
          <w:cantSplit/>
        </w:trPr>
        <w:tc>
          <w:tcPr>
            <w:tcW w:w="1296" w:type="dxa"/>
          </w:tcPr>
          <w:p w14:paraId="12276AAA" w14:textId="2E0D1ADE" w:rsidR="00333D9E" w:rsidRPr="00333D9E" w:rsidRDefault="002F1338"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Pr>
      <w:tblGrid>
        <w:gridCol w:w="864"/>
        <w:gridCol w:w="8928"/>
      </w:tblGrid>
      <w:tr w:rsidR="00A26EE9" w:rsidRPr="00DD5811" w14:paraId="12276AB3" w14:textId="77777777" w:rsidTr="00D64CCC">
        <w:trPr>
          <w:tblHeader/>
        </w:trPr>
        <w:tc>
          <w:tcPr>
            <w:tcW w:w="864" w:type="dxa"/>
            <w:tcBorders>
              <w:top w:val="single" w:sz="12" w:space="0" w:color="auto"/>
              <w:bottom w:val="single" w:sz="12" w:space="0" w:color="auto"/>
              <w:right w:val="single" w:sz="12" w:space="0" w:color="auto"/>
            </w:tcBorders>
            <w:shd w:val="clear" w:color="auto" w:fill="F2F2F2" w:themeFill="background1" w:themeFillShade="F2"/>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top w:val="single" w:sz="12" w:space="0" w:color="auto"/>
              <w:left w:val="single" w:sz="12" w:space="0" w:color="auto"/>
              <w:bottom w:val="single" w:sz="12" w:space="0" w:color="auto"/>
            </w:tcBorders>
            <w:shd w:val="clear" w:color="auto" w:fill="F2F2F2" w:themeFill="background1" w:themeFillShade="F2"/>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C305A9">
        <w:tc>
          <w:tcPr>
            <w:tcW w:w="864" w:type="dxa"/>
            <w:tcBorders>
              <w:top w:val="single" w:sz="12" w:space="0" w:color="auto"/>
            </w:tcBorders>
          </w:tcPr>
          <w:p w14:paraId="12276AB4" w14:textId="6C78E103" w:rsidR="00A26EE9" w:rsidRPr="00333D9E" w:rsidRDefault="002F1338" w:rsidP="00DD5811">
            <w:pPr>
              <w:jc w:val="center"/>
              <w:rPr>
                <w:kern w:val="2"/>
              </w:rPr>
            </w:pPr>
            <w:r>
              <w:rPr>
                <w:kern w:val="2"/>
              </w:rPr>
              <w:t>X</w:t>
            </w:r>
          </w:p>
        </w:tc>
        <w:tc>
          <w:tcPr>
            <w:tcW w:w="8928" w:type="dxa"/>
            <w:tcBorders>
              <w:top w:val="single" w:sz="12" w:space="0" w:color="auto"/>
            </w:tcBorders>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C305A9">
        <w:tc>
          <w:tcPr>
            <w:tcW w:w="864" w:type="dxa"/>
          </w:tcPr>
          <w:p w14:paraId="12276AB7" w14:textId="2F118835" w:rsidR="00A26EE9" w:rsidRPr="00333D9E" w:rsidRDefault="002F1338"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C305A9">
        <w:tc>
          <w:tcPr>
            <w:tcW w:w="864" w:type="dxa"/>
          </w:tcPr>
          <w:p w14:paraId="12276ABA" w14:textId="49F9D04C" w:rsidR="00A26EE9" w:rsidRPr="00333D9E" w:rsidRDefault="002F1338"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C305A9">
        <w:tc>
          <w:tcPr>
            <w:tcW w:w="864" w:type="dxa"/>
          </w:tcPr>
          <w:p w14:paraId="12276ABD" w14:textId="3AB40233" w:rsidR="00A26EE9" w:rsidRPr="00333D9E" w:rsidRDefault="002F1338"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D64CCC">
        <w:trPr>
          <w:tblHeader/>
        </w:trPr>
        <w:tc>
          <w:tcPr>
            <w:tcW w:w="864" w:type="dxa"/>
            <w:tcBorders>
              <w:top w:val="single" w:sz="12" w:space="0" w:color="auto"/>
              <w:bottom w:val="single" w:sz="12" w:space="0" w:color="auto"/>
            </w:tcBorders>
            <w:shd w:val="clear" w:color="auto" w:fill="F2F2F2" w:themeFill="background1" w:themeFillShade="F2"/>
          </w:tcPr>
          <w:p w14:paraId="12276AC2"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clear" w:color="auto" w:fill="F2F2F2" w:themeFill="background1" w:themeFillShade="F2"/>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C305A9">
        <w:tc>
          <w:tcPr>
            <w:tcW w:w="864" w:type="dxa"/>
            <w:tcBorders>
              <w:top w:val="single" w:sz="12" w:space="0" w:color="auto"/>
            </w:tcBorders>
          </w:tcPr>
          <w:p w14:paraId="12276AC5" w14:textId="1CD62B75" w:rsidR="00A26EE9" w:rsidRPr="00333D9E" w:rsidRDefault="002F1338" w:rsidP="00DD5811">
            <w:pPr>
              <w:jc w:val="center"/>
              <w:rPr>
                <w:kern w:val="2"/>
              </w:rPr>
            </w:pPr>
            <w:r>
              <w:rPr>
                <w:kern w:val="2"/>
              </w:rPr>
              <w:t>X</w:t>
            </w:r>
          </w:p>
        </w:tc>
        <w:tc>
          <w:tcPr>
            <w:tcW w:w="8928" w:type="dxa"/>
            <w:tcBorders>
              <w:top w:val="single" w:sz="12" w:space="0" w:color="auto"/>
            </w:tcBorders>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C305A9">
        <w:tc>
          <w:tcPr>
            <w:tcW w:w="864" w:type="dxa"/>
          </w:tcPr>
          <w:p w14:paraId="12276AC9" w14:textId="57FC9737" w:rsidR="00A26EE9" w:rsidRPr="00333D9E" w:rsidRDefault="002F1338"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C305A9">
        <w:tc>
          <w:tcPr>
            <w:tcW w:w="864" w:type="dxa"/>
          </w:tcPr>
          <w:p w14:paraId="12276ACC" w14:textId="3F346E1D" w:rsidR="00A26EE9" w:rsidRPr="00333D9E" w:rsidRDefault="002F1338" w:rsidP="00DD5811">
            <w:pPr>
              <w:jc w:val="center"/>
              <w:rPr>
                <w:kern w:val="2"/>
              </w:rPr>
            </w:pPr>
            <w:r>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 xml:space="preserve">1412(a)(12)(A)-(C);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03D5CF6A" w:rsidR="00A26EE9" w:rsidRPr="00333D9E" w:rsidRDefault="00A26EE9">
      <w:pPr>
        <w:spacing w:after="120"/>
        <w:rPr>
          <w:kern w:val="2"/>
        </w:rPr>
      </w:pPr>
      <w:r w:rsidRPr="00333D9E">
        <w:rPr>
          <w:kern w:val="2"/>
        </w:rPr>
        <w:t>I certify that the State of ____</w:t>
      </w:r>
      <w:r w:rsidR="002F1338">
        <w:rPr>
          <w:kern w:val="2"/>
        </w:rPr>
        <w:t>Puerto Rico</w:t>
      </w:r>
      <w:r w:rsidRPr="00333D9E">
        <w:rPr>
          <w:kern w:val="2"/>
        </w:rPr>
        <w:t>________________________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566B5956"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034BBA">
        <w:rPr>
          <w:kern w:val="2"/>
        </w:rPr>
        <w:t>2022</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77777777" w:rsidR="00A26EE9" w:rsidRPr="00333D9E" w:rsidRDefault="00DD5811" w:rsidP="00CB6395">
      <w:pPr>
        <w:keepNext/>
        <w:tabs>
          <w:tab w:val="right" w:leader="underscore" w:pos="7920"/>
        </w:tabs>
        <w:spacing w:before="600" w:after="120"/>
        <w:ind w:left="1440" w:right="1440"/>
        <w:jc w:val="center"/>
        <w:rPr>
          <w:kern w:val="2"/>
        </w:rPr>
      </w:pPr>
      <w:r>
        <w:rPr>
          <w:kern w:val="2"/>
        </w:rPr>
        <w:tab/>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34B41D5" w:rsidR="00A26EE9" w:rsidRPr="00333D9E" w:rsidRDefault="00A26EE9">
      <w:pPr>
        <w:spacing w:after="240"/>
        <w:rPr>
          <w:kern w:val="2"/>
        </w:rPr>
      </w:pPr>
      <w:r w:rsidRPr="00333D9E">
        <w:rPr>
          <w:kern w:val="2"/>
        </w:rPr>
        <w:t xml:space="preserve">am designated by the Governor of this State to submit this application for FFY </w:t>
      </w:r>
      <w:r w:rsidR="00034BBA">
        <w:rPr>
          <w:kern w:val="2"/>
        </w:rPr>
        <w:t>2021</w:t>
      </w:r>
      <w:r w:rsidR="001A388B" w:rsidRPr="00333D9E">
        <w:rPr>
          <w:kern w:val="2"/>
        </w:rPr>
        <w:t xml:space="preserve"> </w:t>
      </w:r>
      <w:r w:rsidRPr="00333D9E">
        <w:rPr>
          <w:kern w:val="2"/>
        </w:rPr>
        <w:t>funds under Part B of the Individuals with Disabilities Education Act (IDEA).</w:t>
      </w:r>
    </w:p>
    <w:tbl>
      <w:tblPr>
        <w:tblStyle w:val="TableGrid"/>
        <w:tblW w:w="0" w:type="auto"/>
        <w:tblLook w:val="04A0" w:firstRow="1" w:lastRow="0" w:firstColumn="1" w:lastColumn="0" w:noHBand="0" w:noVBand="1"/>
      </w:tblPr>
      <w:tblGrid>
        <w:gridCol w:w="9350"/>
      </w:tblGrid>
      <w:tr w:rsidR="00155E0A" w14:paraId="43572C7D" w14:textId="77777777" w:rsidTr="00C305A9">
        <w:trPr>
          <w:trHeight w:val="720"/>
        </w:trPr>
        <w:tc>
          <w:tcPr>
            <w:tcW w:w="9350" w:type="dxa"/>
          </w:tcPr>
          <w:p w14:paraId="1214CF08" w14:textId="2C5B155B" w:rsidR="00155E0A" w:rsidRDefault="00155E0A" w:rsidP="00C305A9">
            <w:pPr>
              <w:rPr>
                <w:kern w:val="2"/>
              </w:rPr>
            </w:pPr>
            <w:r>
              <w:rPr>
                <w:kern w:val="2"/>
              </w:rPr>
              <w:t>Printed/Typed Name of Authorized Representative of the State:</w:t>
            </w:r>
          </w:p>
        </w:tc>
      </w:tr>
      <w:tr w:rsidR="00155E0A" w14:paraId="35364EF0" w14:textId="77777777" w:rsidTr="00C305A9">
        <w:trPr>
          <w:trHeight w:val="720"/>
        </w:trPr>
        <w:tc>
          <w:tcPr>
            <w:tcW w:w="9350" w:type="dxa"/>
          </w:tcPr>
          <w:p w14:paraId="0252954D" w14:textId="3D4F0C24" w:rsidR="00155E0A" w:rsidRDefault="00155E0A" w:rsidP="00C305A9">
            <w:pPr>
              <w:rPr>
                <w:kern w:val="2"/>
              </w:rPr>
            </w:pPr>
            <w:r>
              <w:rPr>
                <w:kern w:val="2"/>
              </w:rPr>
              <w:t>Title of Authorized Representative of the State:</w:t>
            </w:r>
          </w:p>
        </w:tc>
      </w:tr>
      <w:tr w:rsidR="00155E0A" w14:paraId="4D1D13CD" w14:textId="77777777" w:rsidTr="00C305A9">
        <w:trPr>
          <w:trHeight w:val="720"/>
        </w:trPr>
        <w:tc>
          <w:tcPr>
            <w:tcW w:w="9350" w:type="dxa"/>
          </w:tcPr>
          <w:p w14:paraId="7F7F2E38" w14:textId="1C9190E1" w:rsidR="00155E0A" w:rsidRDefault="00155E0A" w:rsidP="00C305A9">
            <w:pPr>
              <w:rPr>
                <w:kern w:val="2"/>
              </w:rPr>
            </w:pPr>
            <w:r>
              <w:rPr>
                <w:kern w:val="2"/>
              </w:rPr>
              <w:t>Signature:</w:t>
            </w:r>
          </w:p>
        </w:tc>
      </w:tr>
      <w:tr w:rsidR="00155E0A" w14:paraId="23FD6682" w14:textId="77777777" w:rsidTr="00C305A9">
        <w:trPr>
          <w:trHeight w:val="720"/>
        </w:trPr>
        <w:tc>
          <w:tcPr>
            <w:tcW w:w="9350" w:type="dxa"/>
          </w:tcPr>
          <w:p w14:paraId="6F8D8A3E" w14:textId="176FCC60" w:rsidR="00155E0A" w:rsidRDefault="00155E0A" w:rsidP="00C305A9">
            <w:pPr>
              <w:rPr>
                <w:kern w:val="2"/>
              </w:rPr>
            </w:pPr>
            <w:r>
              <w:rPr>
                <w:kern w:val="2"/>
              </w:rPr>
              <w:t>Date:</w:t>
            </w:r>
          </w:p>
        </w:tc>
      </w:tr>
    </w:tbl>
    <w:p w14:paraId="12276ADC" w14:textId="2DF316C4" w:rsidR="00155E0A" w:rsidRPr="00333D9E" w:rsidRDefault="00155E0A">
      <w:pPr>
        <w:rPr>
          <w:kern w:val="2"/>
        </w:rPr>
        <w:sectPr w:rsidR="00155E0A" w:rsidRPr="00333D9E">
          <w:footerReference w:type="default" r:id="rId16"/>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492950AF"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034BBA">
        <w:rPr>
          <w:kern w:val="2"/>
        </w:rPr>
        <w:t>2021</w:t>
      </w:r>
      <w:r w:rsidR="001952B2"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2276AE4" w14:textId="77777777" w:rsidR="00051B0B" w:rsidRPr="00333D9E" w:rsidRDefault="00051B0B">
      <w:pPr>
        <w:rPr>
          <w:kern w:val="2"/>
        </w:rPr>
        <w:sectPr w:rsidR="00051B0B" w:rsidRPr="00333D9E">
          <w:footerReference w:type="default" r:id="rId17"/>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47029AEB" w14:textId="77777777" w:rsidR="002F1338" w:rsidRDefault="002F1338" w:rsidP="002F1338">
      <w:pPr>
        <w:numPr>
          <w:ilvl w:val="0"/>
          <w:numId w:val="11"/>
        </w:numPr>
        <w:rPr>
          <w:b/>
        </w:rPr>
      </w:pPr>
      <w:r w:rsidRPr="00026C50">
        <w:rPr>
          <w:b/>
        </w:rPr>
        <w:t>Responsibilities</w:t>
      </w:r>
      <w:r>
        <w:rPr>
          <w:b/>
        </w:rPr>
        <w:t xml:space="preserve"> of </w:t>
      </w:r>
      <w:r w:rsidRPr="00026C50">
        <w:rPr>
          <w:b/>
        </w:rPr>
        <w:t>Parent</w:t>
      </w:r>
      <w:r>
        <w:rPr>
          <w:b/>
        </w:rPr>
        <w:t>s</w:t>
      </w:r>
    </w:p>
    <w:p w14:paraId="49FDFDAA" w14:textId="77777777" w:rsidR="002F1338" w:rsidRDefault="002F1338" w:rsidP="002F1338">
      <w:pPr>
        <w:rPr>
          <w:b/>
        </w:rPr>
      </w:pPr>
    </w:p>
    <w:p w14:paraId="2FF949DC" w14:textId="77777777" w:rsidR="002F1338" w:rsidRPr="00026C50" w:rsidRDefault="002F1338" w:rsidP="002F1338">
      <w:r>
        <w:t>Puerto Rican law establishes the responsibilities of a parent of a child with disability. Those duties are as follows:</w:t>
      </w:r>
    </w:p>
    <w:p w14:paraId="0993545E" w14:textId="77777777" w:rsidR="002F1338" w:rsidRDefault="002F1338" w:rsidP="002F1338">
      <w:pPr>
        <w:numPr>
          <w:ilvl w:val="0"/>
          <w:numId w:val="10"/>
        </w:numPr>
      </w:pPr>
      <w:r w:rsidRPr="0062743B">
        <w:t>Attending and caring</w:t>
      </w:r>
      <w:r>
        <w:t xml:space="preserve"> for their children with disabilities and satisfying their basic needs for food, shelter, personal care and hygiene in the soundest of environment possible.</w:t>
      </w:r>
    </w:p>
    <w:p w14:paraId="74184CA6" w14:textId="77777777" w:rsidR="002F1338" w:rsidRDefault="002F1338" w:rsidP="002F1338">
      <w:pPr>
        <w:numPr>
          <w:ilvl w:val="0"/>
          <w:numId w:val="10"/>
        </w:numPr>
      </w:pPr>
      <w:r>
        <w:t>Learning about the laws related to minor with disabilities, what services are available and the management techniques thereof.</w:t>
      </w:r>
    </w:p>
    <w:p w14:paraId="6341667A" w14:textId="77777777" w:rsidR="002F1338" w:rsidRDefault="002F1338" w:rsidP="002F1338">
      <w:pPr>
        <w:numPr>
          <w:ilvl w:val="0"/>
          <w:numId w:val="10"/>
        </w:numPr>
      </w:pPr>
      <w:r>
        <w:t>Learning about the services that concerned agencies may offer their children.</w:t>
      </w:r>
    </w:p>
    <w:p w14:paraId="5F053EFE" w14:textId="77777777" w:rsidR="002F1338" w:rsidRDefault="002F1338" w:rsidP="002F1338">
      <w:pPr>
        <w:numPr>
          <w:ilvl w:val="0"/>
          <w:numId w:val="10"/>
        </w:numPr>
      </w:pPr>
      <w:r>
        <w:t>Participating in the development process of the educational services programs for persons with disabilities.</w:t>
      </w:r>
    </w:p>
    <w:p w14:paraId="674E8CF5" w14:textId="77777777" w:rsidR="002F1338" w:rsidRDefault="002F1338" w:rsidP="002F1338">
      <w:pPr>
        <w:numPr>
          <w:ilvl w:val="0"/>
          <w:numId w:val="10"/>
        </w:numPr>
      </w:pPr>
      <w:r>
        <w:t>Procure and collaborate so that the persons with disabilities may receive he prescribed educational services and treatment.</w:t>
      </w:r>
    </w:p>
    <w:p w14:paraId="4B82886B" w14:textId="77777777" w:rsidR="002F1338" w:rsidRDefault="002F1338" w:rsidP="002F1338">
      <w:pPr>
        <w:numPr>
          <w:ilvl w:val="0"/>
          <w:numId w:val="10"/>
        </w:numPr>
      </w:pPr>
      <w:r>
        <w:t>Caring for preserving the equipment provided by the agencies in good conditions and complying with the provisions of the corresponding regulations.</w:t>
      </w:r>
    </w:p>
    <w:p w14:paraId="69B83C8C" w14:textId="77777777" w:rsidR="002F1338" w:rsidRDefault="002F1338" w:rsidP="002F1338"/>
    <w:p w14:paraId="5BF7B23B" w14:textId="77777777" w:rsidR="002F1338" w:rsidRDefault="002F1338" w:rsidP="002F1338">
      <w:pPr>
        <w:ind w:left="720"/>
      </w:pPr>
      <w:r>
        <w:t>Puerto Rico Law 51, Section (4)(1)(a)(f), (1996)</w:t>
      </w:r>
    </w:p>
    <w:p w14:paraId="487D6670" w14:textId="77777777" w:rsidR="002F1338" w:rsidRDefault="002F1338" w:rsidP="002F1338"/>
    <w:p w14:paraId="0DCFAAD6" w14:textId="77777777" w:rsidR="002F1338" w:rsidRDefault="002F1338" w:rsidP="002F1338">
      <w:pPr>
        <w:rPr>
          <w:b/>
        </w:rPr>
      </w:pPr>
      <w:r>
        <w:rPr>
          <w:b/>
        </w:rPr>
        <w:t xml:space="preserve">    II. </w:t>
      </w:r>
      <w:r>
        <w:rPr>
          <w:b/>
        </w:rPr>
        <w:tab/>
        <w:t xml:space="preserve">Multiple Agency Responsibilities </w:t>
      </w:r>
    </w:p>
    <w:p w14:paraId="72D9868A" w14:textId="77777777" w:rsidR="002F1338" w:rsidRDefault="002F1338" w:rsidP="002F1338">
      <w:pPr>
        <w:rPr>
          <w:b/>
        </w:rPr>
      </w:pPr>
    </w:p>
    <w:p w14:paraId="1E0B622F" w14:textId="77777777" w:rsidR="002F1338" w:rsidRDefault="002F1338" w:rsidP="002F1338">
      <w:r>
        <w:t>Puerto Rican law establishes responsibilities related to children with disabilities for various state agencies including: Department of Health, Mental Health and Addiction Services Administration, Department of Education, Department of the Family, Vocational  Rehabilitation Administration, Sports and Recreation Department, Department of Labor and Human Resources and Department of Corrections and Rehabilitation.</w:t>
      </w:r>
    </w:p>
    <w:p w14:paraId="35C256E7" w14:textId="77777777" w:rsidR="002F1338" w:rsidRDefault="002F1338" w:rsidP="002F1338"/>
    <w:p w14:paraId="7B8CADBD" w14:textId="77777777" w:rsidR="002F1338" w:rsidRPr="005808B3" w:rsidRDefault="002F1338" w:rsidP="002F1338">
      <w:r w:rsidRPr="005808B3">
        <w:t>Puerto Rico Law 51, Section 7 (1996)</w:t>
      </w:r>
    </w:p>
    <w:p w14:paraId="5EF212FC" w14:textId="77777777" w:rsidR="002F1338" w:rsidRPr="005808B3" w:rsidRDefault="002F1338" w:rsidP="002F1338"/>
    <w:p w14:paraId="07CF39F9" w14:textId="77777777" w:rsidR="002F1338" w:rsidRPr="005808B3" w:rsidRDefault="002F1338" w:rsidP="002F1338">
      <w:pPr>
        <w:rPr>
          <w:b/>
        </w:rPr>
      </w:pPr>
    </w:p>
    <w:p w14:paraId="33EFB291" w14:textId="55911F57" w:rsidR="002F1338" w:rsidRDefault="002F1338" w:rsidP="002F1338">
      <w:pPr>
        <w:rPr>
          <w:b/>
        </w:rPr>
      </w:pPr>
      <w:r>
        <w:rPr>
          <w:b/>
        </w:rPr>
        <w:t xml:space="preserve">Stakeholder Group </w:t>
      </w:r>
    </w:p>
    <w:p w14:paraId="0DA2257E" w14:textId="77777777" w:rsidR="002F1338" w:rsidRDefault="002F1338" w:rsidP="002F1338">
      <w:pPr>
        <w:rPr>
          <w:b/>
        </w:rPr>
      </w:pPr>
    </w:p>
    <w:p w14:paraId="20850AD2" w14:textId="77777777" w:rsidR="002F1338" w:rsidRPr="00333D9E" w:rsidRDefault="002F1338" w:rsidP="002F1338">
      <w:pPr>
        <w:rPr>
          <w:kern w:val="2"/>
        </w:rPr>
        <w:sectPr w:rsidR="002F1338" w:rsidRPr="00333D9E">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docGrid w:linePitch="360"/>
        </w:sectPr>
      </w:pPr>
      <w:r>
        <w:t>Under Puerto Rico law, PRDE must establish the Puerto Rico Consulting Committee. State law requires the Secretary to appoint nineteen (19) members with nine (9) members from the public. Puerto Rican law</w:t>
      </w:r>
    </w:p>
    <w:p w14:paraId="2AFCEF09" w14:textId="77777777" w:rsidR="002F1338" w:rsidRDefault="002F1338" w:rsidP="002F1338">
      <w:pPr>
        <w:pStyle w:val="Heading1"/>
      </w:pPr>
    </w:p>
    <w:p w14:paraId="446AF074" w14:textId="77777777" w:rsidR="002F1338" w:rsidRDefault="002F1338" w:rsidP="002F1338">
      <w:r>
        <w:t>sets out the term of a member’s service on the committee. The committee must create bylaws and regulations and draft an annual report of activities and achievements</w:t>
      </w:r>
    </w:p>
    <w:p w14:paraId="55977738" w14:textId="77777777" w:rsidR="002F1338" w:rsidRDefault="002F1338" w:rsidP="002F1338"/>
    <w:p w14:paraId="2EC57A75" w14:textId="77777777" w:rsidR="002F1338" w:rsidRPr="00E61100" w:rsidRDefault="002F1338" w:rsidP="002F1338">
      <w:pPr>
        <w:rPr>
          <w:lang w:val="es-PR"/>
        </w:rPr>
      </w:pPr>
      <w:r w:rsidRPr="00E61100">
        <w:rPr>
          <w:lang w:val="es-PR"/>
        </w:rPr>
        <w:t>Puerto Rico Law 51, Section 8(A)-(B), (1996)</w:t>
      </w:r>
    </w:p>
    <w:p w14:paraId="68F7AF8C" w14:textId="77777777" w:rsidR="002F1338" w:rsidRPr="003D52F7" w:rsidRDefault="002F1338" w:rsidP="002F1338">
      <w:r>
        <w:rPr>
          <w:b/>
        </w:rPr>
        <w:t xml:space="preserve">Responsibilities of the Agencies </w:t>
      </w:r>
      <w:r>
        <w:t xml:space="preserve"> </w:t>
      </w:r>
    </w:p>
    <w:p w14:paraId="01166DEC" w14:textId="77777777" w:rsidR="002F1338" w:rsidRDefault="002F1338" w:rsidP="002F1338">
      <w:pPr>
        <w:rPr>
          <w:b/>
        </w:rPr>
      </w:pPr>
    </w:p>
    <w:p w14:paraId="5483A4F7" w14:textId="77777777" w:rsidR="002F1338" w:rsidRDefault="002F1338" w:rsidP="002F1338">
      <w:r>
        <w:t>State law imposes the following requirements on agencies:</w:t>
      </w:r>
    </w:p>
    <w:p w14:paraId="595C7457" w14:textId="77777777" w:rsidR="002F1338" w:rsidRDefault="002F1338" w:rsidP="002F1338"/>
    <w:p w14:paraId="4AE82664" w14:textId="77777777" w:rsidR="002F1338" w:rsidRDefault="002F1338" w:rsidP="002F1338">
      <w:pPr>
        <w:numPr>
          <w:ilvl w:val="0"/>
          <w:numId w:val="12"/>
        </w:numPr>
      </w:pPr>
      <w:r>
        <w:t>Collaborate in the prevention and identification of the cases of abuse of persons with disabilities;</w:t>
      </w:r>
    </w:p>
    <w:p w14:paraId="47159CAD" w14:textId="77777777" w:rsidR="002F1338" w:rsidRDefault="002F1338" w:rsidP="002F1338">
      <w:pPr>
        <w:numPr>
          <w:ilvl w:val="0"/>
          <w:numId w:val="12"/>
        </w:numPr>
      </w:pPr>
      <w:r>
        <w:t>Establish a quality control system that guarantees promptness, effectiveness and efficiency in the rendering of its services;</w:t>
      </w:r>
    </w:p>
    <w:p w14:paraId="2328643A" w14:textId="77777777" w:rsidR="002F1338" w:rsidRDefault="002F1338" w:rsidP="002F1338">
      <w:pPr>
        <w:numPr>
          <w:ilvl w:val="0"/>
          <w:numId w:val="12"/>
        </w:numPr>
      </w:pPr>
      <w:r>
        <w:t>Orient the relatives of persons with disabilities on their rights, responsibilities and duties.</w:t>
      </w:r>
    </w:p>
    <w:p w14:paraId="5F99D491" w14:textId="77777777" w:rsidR="002F1338" w:rsidRDefault="002F1338" w:rsidP="002F1338">
      <w:pPr>
        <w:numPr>
          <w:ilvl w:val="0"/>
          <w:numId w:val="12"/>
        </w:numPr>
      </w:pPr>
      <w:r>
        <w:t>Collaborate for the establishment of a training system and personnel development that result in the availability of human resources properly trained.</w:t>
      </w:r>
    </w:p>
    <w:p w14:paraId="2B7CB42A" w14:textId="77777777" w:rsidR="002F1338" w:rsidRDefault="002F1338" w:rsidP="002F1338"/>
    <w:p w14:paraId="6A1881E7" w14:textId="77777777" w:rsidR="002F1338" w:rsidRPr="00174DE1" w:rsidRDefault="002F1338" w:rsidP="002F1338">
      <w:pPr>
        <w:rPr>
          <w:lang w:val="es-PR"/>
        </w:rPr>
      </w:pPr>
      <w:r w:rsidRPr="00174DE1">
        <w:rPr>
          <w:lang w:val="es-PR"/>
        </w:rPr>
        <w:t>Puerto Rico Law 51, Section 7(A)(4)-(6)(10), (1996)</w:t>
      </w:r>
    </w:p>
    <w:p w14:paraId="493C622B" w14:textId="77777777" w:rsidR="002F1338" w:rsidRPr="00174DE1" w:rsidRDefault="002F1338" w:rsidP="002F1338">
      <w:pPr>
        <w:rPr>
          <w:b/>
          <w:lang w:val="es-PR"/>
        </w:rPr>
      </w:pPr>
    </w:p>
    <w:p w14:paraId="12276AED" w14:textId="5968B6F2" w:rsidR="00924603" w:rsidRPr="002F1338" w:rsidRDefault="00924603">
      <w:pPr>
        <w:rPr>
          <w:kern w:val="2"/>
          <w:lang w:val="es-PR"/>
        </w:rPr>
        <w:sectPr w:rsidR="00924603" w:rsidRPr="002F1338">
          <w:footerReference w:type="default" r:id="rId22"/>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159D2A13"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034BBA">
        <w:t>2019 and 2020</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034BBA">
        <w:t>2019 and 2020</w:t>
      </w:r>
      <w:r w:rsidR="00D94318">
        <w:t>.</w:t>
      </w:r>
    </w:p>
    <w:p w14:paraId="67AE90B0" w14:textId="4B1714C2" w:rsidR="00402F5B" w:rsidRPr="00333D9E" w:rsidRDefault="00402F5B" w:rsidP="00402F5B">
      <w:pPr>
        <w:spacing w:before="120" w:after="240"/>
        <w:jc w:val="center"/>
        <w:rPr>
          <w:kern w:val="2"/>
        </w:rPr>
      </w:pPr>
      <w:r w:rsidRPr="00333D9E">
        <w:rPr>
          <w:b/>
          <w:kern w:val="2"/>
        </w:rPr>
        <w:t xml:space="preserve">Total Amount of State Financial Support Made Available for </w:t>
      </w:r>
      <w:r w:rsidR="00C305A9">
        <w:rPr>
          <w:b/>
          <w:kern w:val="2"/>
        </w:rPr>
        <w:br/>
      </w:r>
      <w:r w:rsidRPr="00333D9E">
        <w:rPr>
          <w:b/>
          <w:kern w:val="2"/>
        </w:rPr>
        <w:t>Special Education and Related Services for Children with Disabilities</w:t>
      </w:r>
    </w:p>
    <w:tbl>
      <w:tblPr>
        <w:tblStyle w:val="TableGrid"/>
        <w:tblW w:w="0" w:type="auto"/>
        <w:tblInd w:w="2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80" w:firstRow="0" w:lastRow="0" w:firstColumn="1" w:lastColumn="0" w:noHBand="1"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D64CCC">
        <w:trPr>
          <w:trHeight w:val="720"/>
        </w:trPr>
        <w:tc>
          <w:tcPr>
            <w:tcW w:w="1260" w:type="dxa"/>
            <w:shd w:val="clear" w:color="auto" w:fill="F2F2F2" w:themeFill="background1" w:themeFillShade="F2"/>
            <w:vAlign w:val="center"/>
          </w:tcPr>
          <w:p w14:paraId="12276AF4" w14:textId="4963DABE" w:rsidR="00AC5386" w:rsidRPr="00006706" w:rsidRDefault="0043280A" w:rsidP="00C305A9">
            <w:pPr>
              <w:spacing w:before="120" w:after="120"/>
              <w:jc w:val="center"/>
              <w:rPr>
                <w:b/>
                <w:kern w:val="2"/>
              </w:rPr>
            </w:pPr>
            <w:r w:rsidRPr="00006706">
              <w:rPr>
                <w:b/>
                <w:kern w:val="2"/>
              </w:rPr>
              <w:t xml:space="preserve">SFY </w:t>
            </w:r>
            <w:r w:rsidR="00034BBA">
              <w:rPr>
                <w:b/>
                <w:kern w:val="2"/>
              </w:rPr>
              <w:t>2019</w:t>
            </w:r>
          </w:p>
        </w:tc>
        <w:tc>
          <w:tcPr>
            <w:tcW w:w="3420" w:type="dxa"/>
            <w:vAlign w:val="center"/>
          </w:tcPr>
          <w:p w14:paraId="7B106B01" w14:textId="77777777" w:rsidR="004A6510" w:rsidRDefault="004A6510" w:rsidP="00C305A9">
            <w:pPr>
              <w:spacing w:before="120" w:after="120"/>
              <w:jc w:val="center"/>
              <w:rPr>
                <w:kern w:val="2"/>
              </w:rPr>
            </w:pPr>
            <w:r>
              <w:rPr>
                <w:kern w:val="2"/>
              </w:rPr>
              <w:t>338,114,920.86/ 105,827</w:t>
            </w:r>
          </w:p>
          <w:p w14:paraId="12276AF5" w14:textId="5F3D6D8E" w:rsidR="00AC5386" w:rsidRPr="00333D9E" w:rsidRDefault="004A6510" w:rsidP="00C305A9">
            <w:pPr>
              <w:spacing w:before="120" w:after="120"/>
              <w:jc w:val="center"/>
              <w:rPr>
                <w:kern w:val="2"/>
              </w:rPr>
            </w:pPr>
            <w:r>
              <w:rPr>
                <w:kern w:val="2"/>
              </w:rPr>
              <w:t>$3,194.98 per capita</w:t>
            </w:r>
          </w:p>
        </w:tc>
      </w:tr>
      <w:tr w:rsidR="00AC5386" w:rsidRPr="00333D9E" w14:paraId="12276AF9" w14:textId="77777777" w:rsidTr="00D64CCC">
        <w:trPr>
          <w:trHeight w:val="720"/>
        </w:trPr>
        <w:tc>
          <w:tcPr>
            <w:tcW w:w="1260" w:type="dxa"/>
            <w:shd w:val="clear" w:color="auto" w:fill="F2F2F2" w:themeFill="background1" w:themeFillShade="F2"/>
            <w:vAlign w:val="center"/>
          </w:tcPr>
          <w:p w14:paraId="12276AF7" w14:textId="16CB7B93" w:rsidR="00AC5386" w:rsidRPr="00006706" w:rsidRDefault="0043280A" w:rsidP="00C305A9">
            <w:pPr>
              <w:spacing w:before="120" w:after="120"/>
              <w:jc w:val="center"/>
              <w:rPr>
                <w:b/>
                <w:kern w:val="2"/>
              </w:rPr>
            </w:pPr>
            <w:r w:rsidRPr="00006706">
              <w:rPr>
                <w:b/>
                <w:kern w:val="2"/>
              </w:rPr>
              <w:t xml:space="preserve">SFY </w:t>
            </w:r>
            <w:r w:rsidR="00034BBA">
              <w:rPr>
                <w:b/>
                <w:kern w:val="2"/>
              </w:rPr>
              <w:t>2020</w:t>
            </w:r>
          </w:p>
        </w:tc>
        <w:tc>
          <w:tcPr>
            <w:tcW w:w="3420" w:type="dxa"/>
            <w:vAlign w:val="center"/>
          </w:tcPr>
          <w:p w14:paraId="415DF209" w14:textId="77777777" w:rsidR="004A6510" w:rsidRDefault="004A6510" w:rsidP="00C305A9">
            <w:pPr>
              <w:spacing w:before="120" w:after="120"/>
              <w:jc w:val="center"/>
              <w:rPr>
                <w:kern w:val="2"/>
              </w:rPr>
            </w:pPr>
            <w:r>
              <w:rPr>
                <w:kern w:val="2"/>
              </w:rPr>
              <w:t>347,665,449.02/ 103, 137</w:t>
            </w:r>
          </w:p>
          <w:p w14:paraId="12276AF8" w14:textId="33BE1C8B" w:rsidR="00AC5386" w:rsidRPr="00333D9E" w:rsidRDefault="004A6510" w:rsidP="00C305A9">
            <w:pPr>
              <w:spacing w:before="120" w:after="120"/>
              <w:jc w:val="center"/>
              <w:rPr>
                <w:kern w:val="2"/>
              </w:rPr>
            </w:pPr>
            <w:r>
              <w:rPr>
                <w:kern w:val="2"/>
              </w:rPr>
              <w:t>$3,370.91 per capita</w:t>
            </w:r>
          </w:p>
        </w:tc>
      </w:tr>
    </w:tbl>
    <w:p w14:paraId="12276AFA" w14:textId="7E7675C0" w:rsidR="00FA1B67" w:rsidRPr="004A6510" w:rsidRDefault="004A6510" w:rsidP="00DD5811">
      <w:pPr>
        <w:tabs>
          <w:tab w:val="left" w:leader="underscore" w:pos="6480"/>
        </w:tabs>
        <w:spacing w:before="480"/>
        <w:rPr>
          <w:kern w:val="2"/>
          <w:u w:val="single"/>
        </w:rPr>
      </w:pPr>
      <w:r w:rsidRPr="004A6510">
        <w:rPr>
          <w:kern w:val="2"/>
          <w:u w:val="single"/>
        </w:rPr>
        <w:t>Enid Diaz</w:t>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r w:rsidR="005228AD" w:rsidRPr="008B4AC1">
        <w:rPr>
          <w:rStyle w:val="FootnoteReference"/>
          <w:sz w:val="22"/>
          <w:szCs w:val="22"/>
        </w:rPr>
        <w:footnoteReference w:id="2"/>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6A7D8078"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20</w:t>
      </w:r>
      <w:r w:rsidR="00E43C65">
        <w:rPr>
          <w:rFonts w:eastAsia="Calibri"/>
          <w:szCs w:val="20"/>
        </w:rPr>
        <w:t>20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528DA5D9" w:rsidR="00055652" w:rsidRDefault="00034BBA" w:rsidP="00717856">
      <w:pPr>
        <w:pStyle w:val="Header"/>
      </w:pPr>
      <w:r w:rsidRPr="00011397">
        <w:t>If y</w:t>
      </w:r>
      <w:r>
        <w:t xml:space="preserve">our State has revised its Significant Disproportionality procedures or has </w:t>
      </w:r>
      <w:r w:rsidRPr="00011397">
        <w:t>any questions regarding Section V</w:t>
      </w:r>
      <w:r>
        <w:t>. B. of the grant application</w:t>
      </w:r>
      <w:r w:rsidRPr="00011397">
        <w:t xml:space="preserve">, please contact your OSEP State Lead before the </w:t>
      </w:r>
      <w:r>
        <w:t>A</w:t>
      </w:r>
      <w:r w:rsidRPr="00011397">
        <w:t>pplication due date</w:t>
      </w:r>
      <w:r>
        <w:t>.</w:t>
      </w:r>
    </w:p>
    <w:p w14:paraId="1F2052AC" w14:textId="4E90149E" w:rsidR="004A6510" w:rsidRDefault="004A6510" w:rsidP="00717856">
      <w:pPr>
        <w:pStyle w:val="Header"/>
        <w:rPr>
          <w:kern w:val="2"/>
        </w:rPr>
      </w:pPr>
    </w:p>
    <w:p w14:paraId="0873C698" w14:textId="50D66867" w:rsidR="004A6510" w:rsidRPr="00333D9E" w:rsidRDefault="004A6510" w:rsidP="00717856">
      <w:pPr>
        <w:pStyle w:val="Header"/>
        <w:rPr>
          <w:kern w:val="2"/>
        </w:rPr>
      </w:pPr>
      <w:r>
        <w:rPr>
          <w:kern w:val="2"/>
        </w:rPr>
        <w:t>N/A</w:t>
      </w:r>
      <w:bookmarkStart w:id="2" w:name="_GoBack"/>
      <w:bookmarkEnd w:id="2"/>
    </w:p>
    <w:sectPr w:rsidR="004A6510" w:rsidRPr="00333D9E">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7FEF" w14:textId="77777777" w:rsidR="0038791F" w:rsidRDefault="0038791F">
      <w:r>
        <w:separator/>
      </w:r>
    </w:p>
  </w:endnote>
  <w:endnote w:type="continuationSeparator" w:id="0">
    <w:p w14:paraId="3A985792" w14:textId="77777777" w:rsidR="0038791F" w:rsidRDefault="0038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7" w14:textId="3D8DBF1B"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A50CD0">
      <w:rPr>
        <w:sz w:val="18"/>
      </w:rPr>
      <w:t>2021</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4A6510">
      <w:rPr>
        <w:rStyle w:val="PageNumber"/>
        <w:noProof/>
      </w:rPr>
      <w:t>2</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9" w14:textId="4B9EB6BF"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4A6510">
      <w:rPr>
        <w:rStyle w:val="PageNumber"/>
        <w:noProof/>
        <w:sz w:val="18"/>
      </w:rPr>
      <w:t>8</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B" w14:textId="643429F2"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4A6510">
      <w:rPr>
        <w:rStyle w:val="PageNumber"/>
        <w:noProof/>
        <w:sz w:val="18"/>
      </w:rPr>
      <w:t>10</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D" w14:textId="7514482B"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4A6510">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C3DC" w14:textId="4E5BE417" w:rsidR="002F1338" w:rsidRDefault="002F1338">
    <w:pPr>
      <w:pStyle w:val="Footer"/>
      <w:tabs>
        <w:tab w:val="clear" w:pos="4320"/>
        <w:tab w:val="clear" w:pos="8640"/>
        <w:tab w:val="right" w:pos="9300"/>
      </w:tabs>
      <w:ind w:right="360"/>
      <w:rPr>
        <w:sz w:val="18"/>
      </w:rPr>
    </w:pPr>
    <w:r>
      <w:rPr>
        <w:sz w:val="18"/>
      </w:rPr>
      <w:t>Part B Annual State Application:  FFY 2020</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4A6510">
      <w:rPr>
        <w:rStyle w:val="PageNumber"/>
        <w:noProof/>
        <w:sz w:val="18"/>
      </w:rPr>
      <w:t>1</w:t>
    </w:r>
    <w:r>
      <w:rPr>
        <w:rStyle w:val="PageNumber"/>
        <w:sz w:val="18"/>
      </w:rPr>
      <w:fldChar w:fldCharType="end"/>
    </w:r>
    <w:r>
      <w:rPr>
        <w:sz w:val="18"/>
      </w:rPr>
      <w:t xml:space="preserve"> </w:t>
    </w:r>
  </w:p>
  <w:p w14:paraId="0B53C324" w14:textId="77777777" w:rsidR="002F1338" w:rsidRDefault="002F1338">
    <w:pPr>
      <w:pStyle w:val="Footer"/>
      <w:rPr>
        <w:sz w:val="18"/>
      </w:rPr>
    </w:pPr>
    <w:r>
      <w:rPr>
        <w:sz w:val="18"/>
      </w:rPr>
      <w:t>OMB No. 1820-0030/Expiration Date – 1-31-2023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F" w14:textId="366D5807"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F1338">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11" w14:textId="0DD308EB"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4A6510">
      <w:rPr>
        <w:rStyle w:val="PageNumber"/>
        <w:noProof/>
        <w:sz w:val="18"/>
      </w:rPr>
      <w:t>2</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C717D" w14:textId="77777777" w:rsidR="0038791F" w:rsidRDefault="0038791F">
      <w:r>
        <w:separator/>
      </w:r>
    </w:p>
  </w:footnote>
  <w:footnote w:type="continuationSeparator" w:id="0">
    <w:p w14:paraId="7C7A24FD" w14:textId="77777777" w:rsidR="0038791F" w:rsidRDefault="0038791F">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3" w14:textId="06B4B695" w:rsidR="00701EBB" w:rsidRDefault="00701EBB" w:rsidP="00333D9E">
    <w:pPr>
      <w:pStyle w:val="Header"/>
      <w:tabs>
        <w:tab w:val="clear" w:pos="4320"/>
        <w:tab w:val="clear" w:pos="8640"/>
        <w:tab w:val="left" w:pos="7200"/>
        <w:tab w:val="right" w:leader="underscore" w:pos="9360"/>
      </w:tabs>
    </w:pPr>
    <w:r>
      <w:tab/>
    </w:r>
    <w:r w:rsidR="00485102">
      <w:t xml:space="preserve">        Puerto Rico  </w:t>
    </w:r>
  </w:p>
  <w:p w14:paraId="12276B04" w14:textId="77777777" w:rsidR="00701EBB" w:rsidRDefault="00701EBB" w:rsidP="00333D9E">
    <w:pPr>
      <w:pStyle w:val="Header"/>
      <w:tabs>
        <w:tab w:val="clear" w:pos="4320"/>
        <w:tab w:val="clear" w:pos="8640"/>
        <w:tab w:val="center" w:pos="8280"/>
      </w:tabs>
    </w:pPr>
    <w:r>
      <w:tab/>
      <w:t>State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F100" w14:textId="77777777" w:rsidR="002F1338" w:rsidRDefault="002F1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487B0" w14:textId="77777777" w:rsidR="002F1338" w:rsidRDefault="002F13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7E5D" w14:textId="77777777" w:rsidR="002F1338" w:rsidRDefault="002F1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36B9"/>
    <w:multiLevelType w:val="hybridMultilevel"/>
    <w:tmpl w:val="9290341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E1D23"/>
    <w:multiLevelType w:val="hybridMultilevel"/>
    <w:tmpl w:val="10DC2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E0533"/>
    <w:multiLevelType w:val="hybridMultilevel"/>
    <w:tmpl w:val="38A6A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
  </w:num>
  <w:num w:numId="5">
    <w:abstractNumId w:val="3"/>
  </w:num>
  <w:num w:numId="6">
    <w:abstractNumId w:val="6"/>
  </w:num>
  <w:num w:numId="7">
    <w:abstractNumId w:val="9"/>
  </w:num>
  <w:num w:numId="8">
    <w:abstractNumId w:val="4"/>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80E71"/>
    <w:rsid w:val="00081EA2"/>
    <w:rsid w:val="000B68C6"/>
    <w:rsid w:val="000C2CCF"/>
    <w:rsid w:val="000C3F30"/>
    <w:rsid w:val="000D573B"/>
    <w:rsid w:val="000D7011"/>
    <w:rsid w:val="000D7082"/>
    <w:rsid w:val="000E0C19"/>
    <w:rsid w:val="00102C1B"/>
    <w:rsid w:val="0010318B"/>
    <w:rsid w:val="00120A1B"/>
    <w:rsid w:val="00142F78"/>
    <w:rsid w:val="00155E0A"/>
    <w:rsid w:val="001601FF"/>
    <w:rsid w:val="00164602"/>
    <w:rsid w:val="001952B2"/>
    <w:rsid w:val="001A388B"/>
    <w:rsid w:val="001A65B4"/>
    <w:rsid w:val="001B2E1A"/>
    <w:rsid w:val="001B3830"/>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2F1338"/>
    <w:rsid w:val="00301905"/>
    <w:rsid w:val="00304F60"/>
    <w:rsid w:val="0032044C"/>
    <w:rsid w:val="00322944"/>
    <w:rsid w:val="0032525D"/>
    <w:rsid w:val="00327D6D"/>
    <w:rsid w:val="00330054"/>
    <w:rsid w:val="00333D9E"/>
    <w:rsid w:val="00340C5F"/>
    <w:rsid w:val="00347026"/>
    <w:rsid w:val="003532A4"/>
    <w:rsid w:val="00365EA1"/>
    <w:rsid w:val="00376FEE"/>
    <w:rsid w:val="003840AF"/>
    <w:rsid w:val="0038791F"/>
    <w:rsid w:val="003A59E9"/>
    <w:rsid w:val="003A70AF"/>
    <w:rsid w:val="003B41B6"/>
    <w:rsid w:val="003B5852"/>
    <w:rsid w:val="003B6641"/>
    <w:rsid w:val="003D1D0C"/>
    <w:rsid w:val="003F2A9C"/>
    <w:rsid w:val="004028F0"/>
    <w:rsid w:val="00402F5B"/>
    <w:rsid w:val="00416BB6"/>
    <w:rsid w:val="00421E0F"/>
    <w:rsid w:val="00430A7F"/>
    <w:rsid w:val="00431E1A"/>
    <w:rsid w:val="0043280A"/>
    <w:rsid w:val="00432A08"/>
    <w:rsid w:val="00446854"/>
    <w:rsid w:val="004608E0"/>
    <w:rsid w:val="0046358B"/>
    <w:rsid w:val="004641AD"/>
    <w:rsid w:val="00475A89"/>
    <w:rsid w:val="00485102"/>
    <w:rsid w:val="004A3538"/>
    <w:rsid w:val="004A6510"/>
    <w:rsid w:val="004B28D6"/>
    <w:rsid w:val="004B625A"/>
    <w:rsid w:val="004B7CF0"/>
    <w:rsid w:val="004C03E5"/>
    <w:rsid w:val="004C2AA1"/>
    <w:rsid w:val="004C36FF"/>
    <w:rsid w:val="004C60DE"/>
    <w:rsid w:val="004D744F"/>
    <w:rsid w:val="00514E82"/>
    <w:rsid w:val="005228AD"/>
    <w:rsid w:val="00526F6F"/>
    <w:rsid w:val="0053519E"/>
    <w:rsid w:val="00540397"/>
    <w:rsid w:val="00551C9D"/>
    <w:rsid w:val="00556BA9"/>
    <w:rsid w:val="005655B9"/>
    <w:rsid w:val="00567018"/>
    <w:rsid w:val="00570F49"/>
    <w:rsid w:val="005A4366"/>
    <w:rsid w:val="005C718A"/>
    <w:rsid w:val="005D1991"/>
    <w:rsid w:val="005F5313"/>
    <w:rsid w:val="00605CA4"/>
    <w:rsid w:val="00612D91"/>
    <w:rsid w:val="00630178"/>
    <w:rsid w:val="006347B7"/>
    <w:rsid w:val="00655EE3"/>
    <w:rsid w:val="00660A25"/>
    <w:rsid w:val="006749D5"/>
    <w:rsid w:val="006754CC"/>
    <w:rsid w:val="00697991"/>
    <w:rsid w:val="006C0D81"/>
    <w:rsid w:val="00700E1A"/>
    <w:rsid w:val="00701EBB"/>
    <w:rsid w:val="00717856"/>
    <w:rsid w:val="00717F83"/>
    <w:rsid w:val="007268FE"/>
    <w:rsid w:val="007276EB"/>
    <w:rsid w:val="00727974"/>
    <w:rsid w:val="0073093C"/>
    <w:rsid w:val="0074701B"/>
    <w:rsid w:val="007535AD"/>
    <w:rsid w:val="007575CC"/>
    <w:rsid w:val="00757785"/>
    <w:rsid w:val="007652BE"/>
    <w:rsid w:val="0077205C"/>
    <w:rsid w:val="0078410A"/>
    <w:rsid w:val="007918E5"/>
    <w:rsid w:val="00792C15"/>
    <w:rsid w:val="007963C5"/>
    <w:rsid w:val="007A6E9C"/>
    <w:rsid w:val="007F6133"/>
    <w:rsid w:val="007F75C4"/>
    <w:rsid w:val="00801F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83965"/>
    <w:rsid w:val="00994C8A"/>
    <w:rsid w:val="009A1B3E"/>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50CD0"/>
    <w:rsid w:val="00A56AFE"/>
    <w:rsid w:val="00A60E58"/>
    <w:rsid w:val="00A65A3A"/>
    <w:rsid w:val="00AA3D77"/>
    <w:rsid w:val="00AA4AED"/>
    <w:rsid w:val="00AA7EDF"/>
    <w:rsid w:val="00AB4578"/>
    <w:rsid w:val="00AB5547"/>
    <w:rsid w:val="00AC5386"/>
    <w:rsid w:val="00AD0052"/>
    <w:rsid w:val="00AD1465"/>
    <w:rsid w:val="00AE1490"/>
    <w:rsid w:val="00AE1BEA"/>
    <w:rsid w:val="00B15C38"/>
    <w:rsid w:val="00B22E08"/>
    <w:rsid w:val="00B618F2"/>
    <w:rsid w:val="00B703A9"/>
    <w:rsid w:val="00B7548C"/>
    <w:rsid w:val="00B83F91"/>
    <w:rsid w:val="00B8631D"/>
    <w:rsid w:val="00B95BE0"/>
    <w:rsid w:val="00BB4049"/>
    <w:rsid w:val="00BB6813"/>
    <w:rsid w:val="00BC15D0"/>
    <w:rsid w:val="00BE5674"/>
    <w:rsid w:val="00BF055B"/>
    <w:rsid w:val="00BF58CC"/>
    <w:rsid w:val="00C0434F"/>
    <w:rsid w:val="00C13D3F"/>
    <w:rsid w:val="00C24A18"/>
    <w:rsid w:val="00C305A9"/>
    <w:rsid w:val="00C43764"/>
    <w:rsid w:val="00C46980"/>
    <w:rsid w:val="00C5705E"/>
    <w:rsid w:val="00C738E0"/>
    <w:rsid w:val="00C80363"/>
    <w:rsid w:val="00C843DE"/>
    <w:rsid w:val="00C9157B"/>
    <w:rsid w:val="00C959A2"/>
    <w:rsid w:val="00C95E5E"/>
    <w:rsid w:val="00CA57E0"/>
    <w:rsid w:val="00CB6395"/>
    <w:rsid w:val="00CC3479"/>
    <w:rsid w:val="00CC3A1D"/>
    <w:rsid w:val="00CC7F43"/>
    <w:rsid w:val="00CD046A"/>
    <w:rsid w:val="00CE1D3A"/>
    <w:rsid w:val="00CF314C"/>
    <w:rsid w:val="00CF47C3"/>
    <w:rsid w:val="00CF65B3"/>
    <w:rsid w:val="00CF739B"/>
    <w:rsid w:val="00D110DA"/>
    <w:rsid w:val="00D33E36"/>
    <w:rsid w:val="00D3683F"/>
    <w:rsid w:val="00D62A52"/>
    <w:rsid w:val="00D64CCC"/>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12E79"/>
    <w:rsid w:val="00F22816"/>
    <w:rsid w:val="00F22EF8"/>
    <w:rsid w:val="00F27FEB"/>
    <w:rsid w:val="00F43F3E"/>
    <w:rsid w:val="00F50D88"/>
    <w:rsid w:val="00F577DB"/>
    <w:rsid w:val="00F57B6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233CC5A5E6CE48B0A2AAE38FAB34E7" ma:contentTypeVersion="12" ma:contentTypeDescription="Create a new document." ma:contentTypeScope="" ma:versionID="d8d8e79160d2f94d2a805c293301b342">
  <xsd:schema xmlns:xsd="http://www.w3.org/2001/XMLSchema" xmlns:xs="http://www.w3.org/2001/XMLSchema" xmlns:p="http://schemas.microsoft.com/office/2006/metadata/properties" xmlns:ns3="35abd3b2-9906-4740-b7b6-84c8fdda6316" xmlns:ns4="47eb5d5a-bb7c-48c5-bf0c-77df4ca57e50" targetNamespace="http://schemas.microsoft.com/office/2006/metadata/properties" ma:root="true" ma:fieldsID="48656e7af1cb8a8700516474b8392093" ns3:_="" ns4:_="">
    <xsd:import namespace="35abd3b2-9906-4740-b7b6-84c8fdda6316"/>
    <xsd:import namespace="47eb5d5a-bb7c-48c5-bf0c-77df4ca57e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bd3b2-9906-4740-b7b6-84c8fdda63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b5d5a-bb7c-48c5-bf0c-77df4ca57e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2.xml><?xml version="1.0" encoding="utf-8"?>
<ds:datastoreItem xmlns:ds="http://schemas.openxmlformats.org/officeDocument/2006/customXml" ds:itemID="{DD774DDE-ECCF-42DB-AFBD-D19B90D8BF05}">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47eb5d5a-bb7c-48c5-bf0c-77df4ca57e50"/>
    <ds:schemaRef ds:uri="35abd3b2-9906-4740-b7b6-84c8fdda6316"/>
  </ds:schemaRefs>
</ds:datastoreItem>
</file>

<file path=customXml/itemProps3.xml><?xml version="1.0" encoding="utf-8"?>
<ds:datastoreItem xmlns:ds="http://schemas.openxmlformats.org/officeDocument/2006/customXml" ds:itemID="{EE74A1B2-C67C-43FB-9F7F-AB30E6EE2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bd3b2-9906-4740-b7b6-84c8fdda6316"/>
    <ds:schemaRef ds:uri="47eb5d5a-bb7c-48c5-bf0c-77df4ca57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71DD3-382B-457B-B052-BFEC22C6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28914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Daiber N. Carrión Muñoz</cp:lastModifiedBy>
  <cp:revision>3</cp:revision>
  <cp:lastPrinted>2019-08-23T15:18:00Z</cp:lastPrinted>
  <dcterms:created xsi:type="dcterms:W3CDTF">2021-04-20T21:43:00Z</dcterms:created>
  <dcterms:modified xsi:type="dcterms:W3CDTF">2021-04-20T21:54:00Z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0x01010042233CC5A5E6CE48B0A2AAE38FAB34E7</vt:lpwstr>
  </property>
  <property fmtid="{D5CDD505-2E9C-101B-9397-08002B2CF9AE}" pid="4" name="Order">
    <vt:r8>100</vt:r8>
  </property>
</Properties>
</file>